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479" w:type="dxa"/>
        <w:tblLook w:val="04A0" w:firstRow="1" w:lastRow="0" w:firstColumn="1" w:lastColumn="0" w:noHBand="0" w:noVBand="1"/>
      </w:tblPr>
      <w:tblGrid>
        <w:gridCol w:w="3114"/>
        <w:gridCol w:w="6365"/>
      </w:tblGrid>
      <w:tr w:rsidR="00F0521B" w:rsidRPr="00A919B1" w14:paraId="757B0CCD" w14:textId="77777777" w:rsidTr="00890D75">
        <w:trPr>
          <w:trHeight w:val="424"/>
        </w:trPr>
        <w:tc>
          <w:tcPr>
            <w:tcW w:w="3114" w:type="dxa"/>
          </w:tcPr>
          <w:p w14:paraId="415CB994"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6365" w:type="dxa"/>
          </w:tcPr>
          <w:p w14:paraId="1D48308B" w14:textId="2E85F8CD" w:rsidR="00F0521B" w:rsidRPr="00F0521B" w:rsidRDefault="00DE4513" w:rsidP="006B3FA2">
            <w:pPr>
              <w:spacing w:before="60" w:after="60" w:line="276" w:lineRule="auto"/>
              <w:jc w:val="both"/>
              <w:rPr>
                <w:rFonts w:ascii="Arial" w:hAnsi="Arial" w:cs="Arial"/>
                <w:sz w:val="20"/>
              </w:rPr>
            </w:pPr>
            <w:r>
              <w:rPr>
                <w:rStyle w:val="ui-provider"/>
                <w:szCs w:val="22"/>
              </w:rPr>
              <w:t>D</w:t>
            </w:r>
            <w:r>
              <w:rPr>
                <w:rStyle w:val="ui-provider"/>
              </w:rPr>
              <w:t>istribution Gauteng Cluster</w:t>
            </w:r>
          </w:p>
        </w:tc>
      </w:tr>
      <w:tr w:rsidR="00607D65" w:rsidRPr="00A919B1" w14:paraId="5668B3D5" w14:textId="77777777" w:rsidTr="00890D75">
        <w:trPr>
          <w:trHeight w:val="418"/>
        </w:trPr>
        <w:tc>
          <w:tcPr>
            <w:tcW w:w="3114" w:type="dxa"/>
          </w:tcPr>
          <w:p w14:paraId="0CA6F92E"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6365" w:type="dxa"/>
          </w:tcPr>
          <w:p w14:paraId="7CB211FB" w14:textId="6F8940E4" w:rsidR="00EC662F" w:rsidRPr="00CA1205" w:rsidRDefault="00483391" w:rsidP="003C17E0">
            <w:pPr>
              <w:spacing w:line="360" w:lineRule="auto"/>
              <w:jc w:val="both"/>
              <w:rPr>
                <w:rFonts w:ascii="Arial" w:hAnsi="Arial" w:cs="Arial"/>
                <w:sz w:val="20"/>
              </w:rPr>
            </w:pPr>
            <w:r w:rsidRPr="00483391">
              <w:t>Provision of Universal access project for Gauteng cluster for a period of 6 months contract.</w:t>
            </w:r>
          </w:p>
        </w:tc>
      </w:tr>
      <w:tr w:rsidR="00EB6A30" w:rsidRPr="00A919B1" w14:paraId="53C20E48" w14:textId="77777777" w:rsidTr="00890D75">
        <w:trPr>
          <w:trHeight w:val="424"/>
        </w:trPr>
        <w:tc>
          <w:tcPr>
            <w:tcW w:w="3114" w:type="dxa"/>
          </w:tcPr>
          <w:p w14:paraId="09C7D0B8"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6365" w:type="dxa"/>
          </w:tcPr>
          <w:p w14:paraId="519ECA41" w14:textId="215F7D29" w:rsidR="00EB6A30" w:rsidRPr="00F0521B" w:rsidRDefault="00483391" w:rsidP="003E3613">
            <w:pPr>
              <w:spacing w:before="60" w:after="60" w:line="276" w:lineRule="auto"/>
              <w:jc w:val="both"/>
              <w:rPr>
                <w:rFonts w:ascii="Arial" w:hAnsi="Arial" w:cs="Arial"/>
                <w:sz w:val="20"/>
              </w:rPr>
            </w:pPr>
            <w:r>
              <w:rPr>
                <w:rFonts w:ascii="Arial" w:eastAsia="Calibri" w:hAnsi="Arial" w:cs="Arial"/>
                <w:b/>
                <w:sz w:val="22"/>
                <w:szCs w:val="22"/>
                <w:lang w:val="en-ZA"/>
              </w:rPr>
              <w:t>6</w:t>
            </w:r>
            <w:r w:rsidR="00DE4513">
              <w:rPr>
                <w:rFonts w:ascii="Arial" w:eastAsia="Calibri" w:hAnsi="Arial" w:cs="Arial"/>
                <w:b/>
                <w:sz w:val="22"/>
                <w:szCs w:val="22"/>
                <w:lang w:val="en-ZA"/>
              </w:rPr>
              <w:t xml:space="preserve"> months</w:t>
            </w:r>
          </w:p>
        </w:tc>
      </w:tr>
      <w:tr w:rsidR="00EB6A30" w:rsidRPr="003D78F9" w14:paraId="2354D33D" w14:textId="77777777" w:rsidTr="00890D75">
        <w:trPr>
          <w:trHeight w:val="424"/>
        </w:trPr>
        <w:tc>
          <w:tcPr>
            <w:tcW w:w="3114" w:type="dxa"/>
          </w:tcPr>
          <w:p w14:paraId="56AAC4DC"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Budget</w:t>
            </w:r>
          </w:p>
        </w:tc>
        <w:tc>
          <w:tcPr>
            <w:tcW w:w="6365" w:type="dxa"/>
          </w:tcPr>
          <w:p w14:paraId="704F0A8E" w14:textId="2E8F02ED" w:rsidR="00EB6A30" w:rsidRPr="00CF781D" w:rsidRDefault="00EB6A30" w:rsidP="006D536C">
            <w:pPr>
              <w:spacing w:before="60" w:after="60" w:line="276" w:lineRule="auto"/>
              <w:jc w:val="both"/>
              <w:rPr>
                <w:rFonts w:ascii="Arial" w:hAnsi="Arial" w:cs="Arial"/>
                <w:sz w:val="20"/>
              </w:rPr>
            </w:pPr>
          </w:p>
        </w:tc>
      </w:tr>
      <w:tr w:rsidR="00304117" w:rsidRPr="00A919B1" w14:paraId="02CC234C" w14:textId="77777777" w:rsidTr="00890D75">
        <w:trPr>
          <w:trHeight w:val="424"/>
        </w:trPr>
        <w:tc>
          <w:tcPr>
            <w:tcW w:w="3114" w:type="dxa"/>
          </w:tcPr>
          <w:p w14:paraId="08388323"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6365" w:type="dxa"/>
          </w:tcPr>
          <w:p w14:paraId="7B0B7D20" w14:textId="3D8411A4" w:rsidR="00304117" w:rsidRPr="00CF781D" w:rsidRDefault="00483391" w:rsidP="00F0521B">
            <w:pPr>
              <w:spacing w:before="60" w:after="60" w:line="276" w:lineRule="auto"/>
              <w:jc w:val="both"/>
              <w:rPr>
                <w:rFonts w:ascii="Arial" w:hAnsi="Arial" w:cs="Arial"/>
                <w:sz w:val="20"/>
              </w:rPr>
            </w:pPr>
            <w:r w:rsidRPr="00483391">
              <w:rPr>
                <w:rFonts w:ascii="Arial" w:hAnsi="Arial" w:cs="Arial"/>
                <w:b/>
                <w:sz w:val="22"/>
              </w:rPr>
              <w:t>Gustav Phaahla</w:t>
            </w:r>
          </w:p>
        </w:tc>
      </w:tr>
    </w:tbl>
    <w:p w14:paraId="6C72D906" w14:textId="77777777" w:rsidR="00EB6A30" w:rsidRPr="00EB6A30" w:rsidRDefault="00EB6A30" w:rsidP="00EB6A30">
      <w:pPr>
        <w:spacing w:line="276" w:lineRule="auto"/>
        <w:rPr>
          <w:rFonts w:ascii="Arial" w:hAnsi="Arial" w:cs="Arial"/>
        </w:rPr>
      </w:pPr>
    </w:p>
    <w:p w14:paraId="16DFECB0" w14:textId="77777777" w:rsidR="00D41C65" w:rsidRDefault="00D41C65" w:rsidP="00D41C65">
      <w:pPr>
        <w:spacing w:before="60" w:after="60"/>
        <w:rPr>
          <w:rFonts w:ascii="Arial" w:hAnsi="Arial" w:cs="Arial"/>
          <w:b/>
        </w:rPr>
      </w:pPr>
      <w:r w:rsidRPr="00271644">
        <w:rPr>
          <w:rFonts w:ascii="Arial" w:hAnsi="Arial" w:cs="Arial"/>
          <w:b/>
        </w:rPr>
        <w:t xml:space="preserve">Section </w:t>
      </w:r>
      <w:r>
        <w:rPr>
          <w:rFonts w:ascii="Arial" w:hAnsi="Arial" w:cs="Arial"/>
          <w:b/>
        </w:rPr>
        <w:t>1</w:t>
      </w:r>
      <w:r w:rsidRPr="00271644">
        <w:rPr>
          <w:rFonts w:ascii="Arial" w:hAnsi="Arial" w:cs="Arial"/>
          <w:b/>
        </w:rPr>
        <w:t xml:space="preserve">: </w:t>
      </w:r>
      <w:r>
        <w:rPr>
          <w:rFonts w:ascii="Arial" w:hAnsi="Arial" w:cs="Arial"/>
          <w:b/>
        </w:rPr>
        <w:t>Specific Goals</w:t>
      </w:r>
    </w:p>
    <w:p w14:paraId="2787CA3F" w14:textId="77777777" w:rsidR="00D41C65" w:rsidRDefault="00D41C65" w:rsidP="00D41C65">
      <w:pPr>
        <w:spacing w:before="60" w:after="60"/>
        <w:rPr>
          <w:rFonts w:ascii="Arial" w:hAnsi="Arial" w:cs="Arial"/>
          <w:b/>
        </w:rPr>
      </w:pPr>
    </w:p>
    <w:p w14:paraId="1F66901B" w14:textId="77777777" w:rsidR="00D41C65" w:rsidRPr="00C91C74" w:rsidRDefault="00D41C65" w:rsidP="00D41C65">
      <w:pPr>
        <w:spacing w:after="200" w:line="276" w:lineRule="auto"/>
        <w:contextualSpacing/>
        <w:jc w:val="both"/>
        <w:rPr>
          <w:rFonts w:ascii="Arial" w:hAnsi="Arial" w:cs="Arial"/>
          <w:bCs/>
          <w:sz w:val="20"/>
          <w:lang w:val="en-ZA"/>
        </w:rPr>
      </w:pPr>
      <w:r w:rsidRPr="00C91C74">
        <w:rPr>
          <w:rFonts w:ascii="Arial" w:hAnsi="Arial" w:cs="Arial"/>
          <w:bCs/>
          <w:sz w:val="20"/>
          <w:lang w:val="en-ZA"/>
        </w:rPr>
        <w:t>A maximum of 10/20 points may be awarded to a tenderer for the specific goal specified for the</w:t>
      </w:r>
    </w:p>
    <w:p w14:paraId="3CB31EA5" w14:textId="77777777" w:rsidR="00D41C65" w:rsidRPr="00C91C74" w:rsidRDefault="00D41C65" w:rsidP="00D41C65">
      <w:pPr>
        <w:spacing w:after="200" w:line="276" w:lineRule="auto"/>
        <w:contextualSpacing/>
        <w:jc w:val="both"/>
        <w:rPr>
          <w:rFonts w:ascii="Arial" w:hAnsi="Arial" w:cs="Arial"/>
          <w:bCs/>
          <w:sz w:val="20"/>
          <w:lang w:val="en-ZA"/>
        </w:rPr>
      </w:pPr>
      <w:r w:rsidRPr="00C91C74">
        <w:rPr>
          <w:rFonts w:ascii="Arial" w:hAnsi="Arial" w:cs="Arial"/>
          <w:bCs/>
          <w:sz w:val="20"/>
          <w:lang w:val="en-ZA"/>
        </w:rPr>
        <w:t>tender. The points scored for the specific goal must be added to the points scored for price and the</w:t>
      </w:r>
    </w:p>
    <w:p w14:paraId="3EAB7AAE" w14:textId="77777777" w:rsidR="00D41C65" w:rsidRPr="00C91C74" w:rsidRDefault="00D41C65" w:rsidP="00D41C65">
      <w:pPr>
        <w:spacing w:after="200" w:line="276" w:lineRule="auto"/>
        <w:contextualSpacing/>
        <w:jc w:val="both"/>
        <w:rPr>
          <w:rFonts w:ascii="Arial" w:hAnsi="Arial" w:cs="Arial"/>
          <w:bCs/>
          <w:sz w:val="20"/>
          <w:lang w:val="en-ZA"/>
        </w:rPr>
      </w:pPr>
      <w:r w:rsidRPr="00C91C74">
        <w:rPr>
          <w:rFonts w:ascii="Arial" w:hAnsi="Arial" w:cs="Arial"/>
          <w:bCs/>
          <w:sz w:val="20"/>
          <w:lang w:val="en-ZA"/>
        </w:rPr>
        <w:t>total must be rounded off to the nearest two decimal places. Subject to section 2(1)(f) of the</w:t>
      </w:r>
    </w:p>
    <w:p w14:paraId="538E3DC6" w14:textId="77777777" w:rsidR="00D41C65" w:rsidRPr="00C91C74" w:rsidRDefault="00D41C65" w:rsidP="00D41C65">
      <w:pPr>
        <w:spacing w:after="200" w:line="276" w:lineRule="auto"/>
        <w:contextualSpacing/>
        <w:jc w:val="both"/>
        <w:rPr>
          <w:rFonts w:ascii="Arial" w:hAnsi="Arial" w:cs="Arial"/>
          <w:bCs/>
          <w:sz w:val="20"/>
          <w:lang w:val="en-ZA"/>
        </w:rPr>
      </w:pPr>
      <w:r w:rsidRPr="00C91C74">
        <w:rPr>
          <w:rFonts w:ascii="Arial" w:hAnsi="Arial" w:cs="Arial"/>
          <w:bCs/>
          <w:sz w:val="20"/>
          <w:lang w:val="en-ZA"/>
        </w:rPr>
        <w:t>Preferential Procurement Policy Framework Act, the contract must be awarded to the tenderer</w:t>
      </w:r>
    </w:p>
    <w:p w14:paraId="12E4C999" w14:textId="77777777" w:rsidR="00D41C65" w:rsidRDefault="00D41C65" w:rsidP="00D41C65">
      <w:pPr>
        <w:spacing w:after="200" w:line="276" w:lineRule="auto"/>
        <w:contextualSpacing/>
        <w:jc w:val="both"/>
        <w:rPr>
          <w:rFonts w:ascii="Arial" w:hAnsi="Arial" w:cs="Arial"/>
          <w:bCs/>
          <w:sz w:val="20"/>
          <w:lang w:val="en-ZA"/>
        </w:rPr>
      </w:pPr>
      <w:r w:rsidRPr="00C91C74">
        <w:rPr>
          <w:rFonts w:ascii="Arial" w:hAnsi="Arial" w:cs="Arial"/>
          <w:bCs/>
          <w:sz w:val="20"/>
          <w:lang w:val="en-ZA"/>
        </w:rPr>
        <w:t>scoring the highest points.</w:t>
      </w:r>
    </w:p>
    <w:p w14:paraId="6E169EF0" w14:textId="77777777" w:rsidR="00D41C65" w:rsidRDefault="00D41C65" w:rsidP="00D41C65">
      <w:pPr>
        <w:spacing w:after="200" w:line="276" w:lineRule="auto"/>
        <w:contextualSpacing/>
        <w:jc w:val="both"/>
        <w:rPr>
          <w:rFonts w:ascii="Arial" w:hAnsi="Arial" w:cs="Arial"/>
          <w:bCs/>
          <w:sz w:val="20"/>
          <w:lang w:val="en-Z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1"/>
        <w:gridCol w:w="2700"/>
        <w:gridCol w:w="2520"/>
      </w:tblGrid>
      <w:tr w:rsidR="00D41C65" w:rsidRPr="00D33E30" w14:paraId="69FA489B" w14:textId="77777777" w:rsidTr="009873AF">
        <w:trPr>
          <w:trHeight w:val="863"/>
        </w:trPr>
        <w:tc>
          <w:tcPr>
            <w:tcW w:w="3391" w:type="dxa"/>
            <w:shd w:val="clear" w:color="auto" w:fill="C00000"/>
            <w:vAlign w:val="center"/>
          </w:tcPr>
          <w:p w14:paraId="74DC4B67" w14:textId="77777777" w:rsidR="00D41C65" w:rsidRPr="00D33E30" w:rsidRDefault="00D41C65" w:rsidP="009873AF">
            <w:pPr>
              <w:kinsoku w:val="0"/>
              <w:overflowPunct w:val="0"/>
              <w:spacing w:before="96"/>
              <w:jc w:val="center"/>
              <w:textAlignment w:val="baseline"/>
              <w:rPr>
                <w:rFonts w:ascii="Arial" w:hAnsi="Arial" w:cs="Arial"/>
                <w:b/>
                <w:sz w:val="20"/>
              </w:rPr>
            </w:pPr>
            <w:r w:rsidRPr="00D33E30">
              <w:rPr>
                <w:rFonts w:ascii="Arial" w:hAnsi="Arial" w:cs="Arial"/>
                <w:b/>
                <w:kern w:val="24"/>
                <w:sz w:val="20"/>
              </w:rPr>
              <w:t>B-BBEE Status Level of Contributor</w:t>
            </w:r>
          </w:p>
        </w:tc>
        <w:tc>
          <w:tcPr>
            <w:tcW w:w="2700" w:type="dxa"/>
            <w:shd w:val="clear" w:color="auto" w:fill="C00000"/>
            <w:vAlign w:val="center"/>
          </w:tcPr>
          <w:p w14:paraId="4245B61D" w14:textId="77777777" w:rsidR="00D41C65" w:rsidRPr="00D33E30" w:rsidRDefault="00D41C65" w:rsidP="009873AF">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07684E94" w14:textId="77777777" w:rsidR="00D41C65" w:rsidRPr="00D33E30" w:rsidRDefault="00D41C65" w:rsidP="009873AF">
            <w:pPr>
              <w:kinsoku w:val="0"/>
              <w:overflowPunct w:val="0"/>
              <w:spacing w:before="96"/>
              <w:jc w:val="center"/>
              <w:textAlignment w:val="baseline"/>
              <w:rPr>
                <w:rFonts w:ascii="Arial" w:hAnsi="Arial" w:cs="Arial"/>
                <w:b/>
                <w:sz w:val="20"/>
              </w:rPr>
            </w:pPr>
            <w:r w:rsidRPr="00D33E30">
              <w:rPr>
                <w:rFonts w:ascii="Arial" w:hAnsi="Arial" w:cs="Arial"/>
                <w:b/>
                <w:kern w:val="24"/>
                <w:sz w:val="20"/>
              </w:rPr>
              <w:t>(90/10 system)</w:t>
            </w:r>
          </w:p>
        </w:tc>
        <w:tc>
          <w:tcPr>
            <w:tcW w:w="2520" w:type="dxa"/>
            <w:shd w:val="clear" w:color="auto" w:fill="C00000"/>
            <w:vAlign w:val="center"/>
          </w:tcPr>
          <w:p w14:paraId="479B47A7" w14:textId="77777777" w:rsidR="00D41C65" w:rsidRPr="00D33E30" w:rsidRDefault="00D41C65" w:rsidP="009873AF">
            <w:pPr>
              <w:kinsoku w:val="0"/>
              <w:overflowPunct w:val="0"/>
              <w:spacing w:before="96"/>
              <w:jc w:val="center"/>
              <w:textAlignment w:val="baseline"/>
              <w:rPr>
                <w:rFonts w:ascii="Arial" w:hAnsi="Arial" w:cs="Arial"/>
                <w:b/>
                <w:kern w:val="24"/>
                <w:sz w:val="20"/>
              </w:rPr>
            </w:pPr>
            <w:r w:rsidRPr="00D33E30">
              <w:rPr>
                <w:rFonts w:ascii="Arial" w:hAnsi="Arial" w:cs="Arial"/>
                <w:b/>
                <w:kern w:val="24"/>
                <w:sz w:val="20"/>
              </w:rPr>
              <w:t>Number of points</w:t>
            </w:r>
          </w:p>
          <w:p w14:paraId="2B189AE0" w14:textId="77777777" w:rsidR="00D41C65" w:rsidRPr="00D33E30" w:rsidRDefault="00D41C65" w:rsidP="009873AF">
            <w:pPr>
              <w:kinsoku w:val="0"/>
              <w:overflowPunct w:val="0"/>
              <w:spacing w:before="96"/>
              <w:jc w:val="center"/>
              <w:textAlignment w:val="baseline"/>
              <w:rPr>
                <w:rFonts w:ascii="Arial" w:hAnsi="Arial" w:cs="Arial"/>
                <w:b/>
                <w:sz w:val="20"/>
              </w:rPr>
            </w:pPr>
            <w:r w:rsidRPr="00D33E30">
              <w:rPr>
                <w:rFonts w:ascii="Arial" w:hAnsi="Arial" w:cs="Arial"/>
                <w:b/>
                <w:kern w:val="24"/>
                <w:sz w:val="20"/>
              </w:rPr>
              <w:t>(80/20 system)</w:t>
            </w:r>
          </w:p>
        </w:tc>
      </w:tr>
      <w:tr w:rsidR="00D41C65" w:rsidRPr="00D33E30" w14:paraId="2CD42F21" w14:textId="77777777" w:rsidTr="009873AF">
        <w:trPr>
          <w:trHeight w:val="317"/>
        </w:trPr>
        <w:tc>
          <w:tcPr>
            <w:tcW w:w="3391" w:type="dxa"/>
            <w:shd w:val="clear" w:color="auto" w:fill="auto"/>
          </w:tcPr>
          <w:p w14:paraId="41C05C38"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700" w:type="dxa"/>
            <w:shd w:val="clear" w:color="auto" w:fill="auto"/>
          </w:tcPr>
          <w:p w14:paraId="0B9E9821"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10</w:t>
            </w:r>
          </w:p>
        </w:tc>
        <w:tc>
          <w:tcPr>
            <w:tcW w:w="2520" w:type="dxa"/>
            <w:shd w:val="clear" w:color="auto" w:fill="auto"/>
          </w:tcPr>
          <w:p w14:paraId="5E3EDDE9"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20</w:t>
            </w:r>
          </w:p>
        </w:tc>
      </w:tr>
      <w:tr w:rsidR="00D41C65" w:rsidRPr="00D33E30" w14:paraId="3879F1B0" w14:textId="77777777" w:rsidTr="009873AF">
        <w:trPr>
          <w:trHeight w:val="317"/>
        </w:trPr>
        <w:tc>
          <w:tcPr>
            <w:tcW w:w="3391" w:type="dxa"/>
            <w:shd w:val="clear" w:color="auto" w:fill="auto"/>
          </w:tcPr>
          <w:p w14:paraId="6320C5A6"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700" w:type="dxa"/>
            <w:shd w:val="clear" w:color="auto" w:fill="auto"/>
          </w:tcPr>
          <w:p w14:paraId="7B4B6823"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9</w:t>
            </w:r>
          </w:p>
        </w:tc>
        <w:tc>
          <w:tcPr>
            <w:tcW w:w="2520" w:type="dxa"/>
            <w:shd w:val="clear" w:color="auto" w:fill="auto"/>
          </w:tcPr>
          <w:p w14:paraId="16E70A11"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18</w:t>
            </w:r>
          </w:p>
        </w:tc>
      </w:tr>
      <w:tr w:rsidR="00D41C65" w:rsidRPr="00D33E30" w14:paraId="0073C228" w14:textId="77777777" w:rsidTr="009873AF">
        <w:trPr>
          <w:trHeight w:val="317"/>
        </w:trPr>
        <w:tc>
          <w:tcPr>
            <w:tcW w:w="3391" w:type="dxa"/>
            <w:shd w:val="clear" w:color="auto" w:fill="auto"/>
          </w:tcPr>
          <w:p w14:paraId="3939B9AA"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700" w:type="dxa"/>
            <w:shd w:val="clear" w:color="auto" w:fill="auto"/>
          </w:tcPr>
          <w:p w14:paraId="76948898"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520" w:type="dxa"/>
            <w:shd w:val="clear" w:color="auto" w:fill="auto"/>
          </w:tcPr>
          <w:p w14:paraId="3B492741"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14</w:t>
            </w:r>
          </w:p>
        </w:tc>
      </w:tr>
      <w:tr w:rsidR="00D41C65" w:rsidRPr="00D33E30" w14:paraId="61CCE9E1" w14:textId="77777777" w:rsidTr="009873AF">
        <w:trPr>
          <w:trHeight w:val="317"/>
        </w:trPr>
        <w:tc>
          <w:tcPr>
            <w:tcW w:w="3391" w:type="dxa"/>
            <w:shd w:val="clear" w:color="auto" w:fill="auto"/>
          </w:tcPr>
          <w:p w14:paraId="73EC2E54"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700" w:type="dxa"/>
            <w:shd w:val="clear" w:color="auto" w:fill="auto"/>
          </w:tcPr>
          <w:p w14:paraId="46BA3664" w14:textId="77777777" w:rsidR="00D41C65" w:rsidRPr="00D33E30" w:rsidRDefault="00D41C65" w:rsidP="009873AF">
            <w:pPr>
              <w:tabs>
                <w:tab w:val="left" w:pos="645"/>
                <w:tab w:val="center" w:pos="1242"/>
              </w:tabs>
              <w:kinsoku w:val="0"/>
              <w:overflowPunct w:val="0"/>
              <w:spacing w:before="115"/>
              <w:textAlignment w:val="baseline"/>
              <w:rPr>
                <w:rFonts w:ascii="Arial" w:hAnsi="Arial" w:cs="Arial"/>
                <w:sz w:val="20"/>
              </w:rPr>
            </w:pPr>
            <w:r w:rsidRPr="00D33E30">
              <w:rPr>
                <w:rFonts w:ascii="Arial" w:hAnsi="Arial" w:cs="Arial"/>
                <w:kern w:val="24"/>
                <w:sz w:val="20"/>
              </w:rPr>
              <w:tab/>
            </w:r>
            <w:r w:rsidRPr="00D33E30">
              <w:rPr>
                <w:rFonts w:ascii="Arial" w:hAnsi="Arial" w:cs="Arial"/>
                <w:kern w:val="24"/>
                <w:sz w:val="20"/>
              </w:rPr>
              <w:tab/>
              <w:t>5</w:t>
            </w:r>
          </w:p>
        </w:tc>
        <w:tc>
          <w:tcPr>
            <w:tcW w:w="2520" w:type="dxa"/>
            <w:shd w:val="clear" w:color="auto" w:fill="auto"/>
          </w:tcPr>
          <w:p w14:paraId="70C572AA"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12</w:t>
            </w:r>
          </w:p>
        </w:tc>
      </w:tr>
      <w:tr w:rsidR="00D41C65" w:rsidRPr="00D33E30" w14:paraId="044D7B18" w14:textId="77777777" w:rsidTr="009873AF">
        <w:trPr>
          <w:trHeight w:val="317"/>
        </w:trPr>
        <w:tc>
          <w:tcPr>
            <w:tcW w:w="3391" w:type="dxa"/>
            <w:shd w:val="clear" w:color="auto" w:fill="auto"/>
          </w:tcPr>
          <w:p w14:paraId="0D353BFA"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5</w:t>
            </w:r>
          </w:p>
        </w:tc>
        <w:tc>
          <w:tcPr>
            <w:tcW w:w="2700" w:type="dxa"/>
            <w:shd w:val="clear" w:color="auto" w:fill="auto"/>
          </w:tcPr>
          <w:p w14:paraId="4E4A9420"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c>
          <w:tcPr>
            <w:tcW w:w="2520" w:type="dxa"/>
            <w:shd w:val="clear" w:color="auto" w:fill="auto"/>
          </w:tcPr>
          <w:p w14:paraId="1E217335"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r>
      <w:tr w:rsidR="00D41C65" w:rsidRPr="00D33E30" w14:paraId="758DF602" w14:textId="77777777" w:rsidTr="009873AF">
        <w:trPr>
          <w:trHeight w:val="317"/>
        </w:trPr>
        <w:tc>
          <w:tcPr>
            <w:tcW w:w="3391" w:type="dxa"/>
            <w:shd w:val="clear" w:color="auto" w:fill="auto"/>
          </w:tcPr>
          <w:p w14:paraId="2B77FC18"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c>
          <w:tcPr>
            <w:tcW w:w="2700" w:type="dxa"/>
            <w:shd w:val="clear" w:color="auto" w:fill="auto"/>
          </w:tcPr>
          <w:p w14:paraId="350EFD49"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3</w:t>
            </w:r>
          </w:p>
        </w:tc>
        <w:tc>
          <w:tcPr>
            <w:tcW w:w="2520" w:type="dxa"/>
            <w:shd w:val="clear" w:color="auto" w:fill="auto"/>
          </w:tcPr>
          <w:p w14:paraId="1B17A7D2"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6</w:t>
            </w:r>
          </w:p>
        </w:tc>
      </w:tr>
      <w:tr w:rsidR="00D41C65" w:rsidRPr="00D33E30" w14:paraId="7F4EBB79" w14:textId="77777777" w:rsidTr="009873AF">
        <w:trPr>
          <w:trHeight w:val="317"/>
        </w:trPr>
        <w:tc>
          <w:tcPr>
            <w:tcW w:w="3391" w:type="dxa"/>
            <w:shd w:val="clear" w:color="auto" w:fill="auto"/>
          </w:tcPr>
          <w:p w14:paraId="622398F2"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7</w:t>
            </w:r>
          </w:p>
        </w:tc>
        <w:tc>
          <w:tcPr>
            <w:tcW w:w="2700" w:type="dxa"/>
            <w:shd w:val="clear" w:color="auto" w:fill="auto"/>
          </w:tcPr>
          <w:p w14:paraId="0AAF5D40"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c>
          <w:tcPr>
            <w:tcW w:w="2520" w:type="dxa"/>
            <w:shd w:val="clear" w:color="auto" w:fill="auto"/>
          </w:tcPr>
          <w:p w14:paraId="049911DB"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4</w:t>
            </w:r>
          </w:p>
        </w:tc>
      </w:tr>
      <w:tr w:rsidR="00D41C65" w:rsidRPr="00D33E30" w14:paraId="19FF478B" w14:textId="77777777" w:rsidTr="009873AF">
        <w:trPr>
          <w:trHeight w:val="317"/>
        </w:trPr>
        <w:tc>
          <w:tcPr>
            <w:tcW w:w="3391" w:type="dxa"/>
            <w:shd w:val="clear" w:color="auto" w:fill="auto"/>
          </w:tcPr>
          <w:p w14:paraId="0A7B04A6"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8</w:t>
            </w:r>
          </w:p>
        </w:tc>
        <w:tc>
          <w:tcPr>
            <w:tcW w:w="2700" w:type="dxa"/>
            <w:shd w:val="clear" w:color="auto" w:fill="auto"/>
          </w:tcPr>
          <w:p w14:paraId="2C6E192A"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1</w:t>
            </w:r>
          </w:p>
        </w:tc>
        <w:tc>
          <w:tcPr>
            <w:tcW w:w="2520" w:type="dxa"/>
            <w:shd w:val="clear" w:color="auto" w:fill="auto"/>
          </w:tcPr>
          <w:p w14:paraId="16C83754"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2</w:t>
            </w:r>
          </w:p>
        </w:tc>
      </w:tr>
      <w:tr w:rsidR="00D41C65" w:rsidRPr="00D33E30" w14:paraId="5E9D4E7B" w14:textId="77777777" w:rsidTr="009873AF">
        <w:trPr>
          <w:trHeight w:val="317"/>
        </w:trPr>
        <w:tc>
          <w:tcPr>
            <w:tcW w:w="3391" w:type="dxa"/>
            <w:shd w:val="clear" w:color="auto" w:fill="auto"/>
          </w:tcPr>
          <w:p w14:paraId="7168518C"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Non-compliant contributor</w:t>
            </w:r>
          </w:p>
        </w:tc>
        <w:tc>
          <w:tcPr>
            <w:tcW w:w="2700" w:type="dxa"/>
            <w:shd w:val="clear" w:color="auto" w:fill="auto"/>
          </w:tcPr>
          <w:p w14:paraId="4A0D4E96"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c>
          <w:tcPr>
            <w:tcW w:w="2520" w:type="dxa"/>
            <w:shd w:val="clear" w:color="auto" w:fill="auto"/>
          </w:tcPr>
          <w:p w14:paraId="7B8CAB87" w14:textId="77777777" w:rsidR="00D41C65" w:rsidRPr="00D33E30" w:rsidRDefault="00D41C65" w:rsidP="009873AF">
            <w:pPr>
              <w:kinsoku w:val="0"/>
              <w:overflowPunct w:val="0"/>
              <w:spacing w:before="115"/>
              <w:jc w:val="center"/>
              <w:textAlignment w:val="baseline"/>
              <w:rPr>
                <w:rFonts w:ascii="Arial" w:hAnsi="Arial" w:cs="Arial"/>
                <w:sz w:val="20"/>
              </w:rPr>
            </w:pPr>
            <w:r w:rsidRPr="00D33E30">
              <w:rPr>
                <w:rFonts w:ascii="Arial" w:hAnsi="Arial" w:cs="Arial"/>
                <w:kern w:val="24"/>
                <w:sz w:val="20"/>
              </w:rPr>
              <w:t>0</w:t>
            </w:r>
          </w:p>
        </w:tc>
      </w:tr>
    </w:tbl>
    <w:p w14:paraId="53D8A903" w14:textId="77777777" w:rsidR="00D41C65" w:rsidRDefault="00D41C65" w:rsidP="00D41C65">
      <w:pPr>
        <w:spacing w:after="200" w:line="276" w:lineRule="auto"/>
        <w:contextualSpacing/>
        <w:jc w:val="both"/>
        <w:rPr>
          <w:rFonts w:ascii="Arial" w:hAnsi="Arial" w:cs="Arial"/>
          <w:bCs/>
          <w:sz w:val="20"/>
          <w:lang w:val="en-ZA"/>
        </w:rPr>
      </w:pPr>
    </w:p>
    <w:p w14:paraId="39D8BA3F" w14:textId="77777777" w:rsidR="00D41C65" w:rsidRPr="007133D2" w:rsidRDefault="00D41C65" w:rsidP="00D41C65">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t>NB: The following documents are required to claim preference points,</w:t>
      </w:r>
    </w:p>
    <w:p w14:paraId="4A6DDAC7" w14:textId="77777777" w:rsidR="00D41C65" w:rsidRPr="007133D2" w:rsidRDefault="00D41C65" w:rsidP="00D41C65">
      <w:pPr>
        <w:pStyle w:val="ListParagraph"/>
        <w:numPr>
          <w:ilvl w:val="0"/>
          <w:numId w:val="42"/>
        </w:numPr>
        <w:spacing w:after="200" w:line="276" w:lineRule="auto"/>
        <w:jc w:val="both"/>
        <w:rPr>
          <w:rFonts w:ascii="Arial" w:hAnsi="Arial" w:cs="Arial"/>
          <w:bCs/>
          <w:sz w:val="20"/>
          <w:lang w:val="en-ZA"/>
        </w:rPr>
      </w:pPr>
      <w:r w:rsidRPr="007133D2">
        <w:rPr>
          <w:rFonts w:ascii="Arial" w:hAnsi="Arial" w:cs="Arial"/>
          <w:bCs/>
          <w:sz w:val="20"/>
          <w:lang w:val="en-ZA"/>
        </w:rPr>
        <w:t>Valid B-BBEE certificate issued by a SANAS accredited verification agency / affidavit / CIPS affidavit</w:t>
      </w:r>
    </w:p>
    <w:p w14:paraId="736EE09A" w14:textId="77777777" w:rsidR="00D41C65" w:rsidRPr="007133D2" w:rsidRDefault="00D41C65" w:rsidP="00D41C65">
      <w:pPr>
        <w:pStyle w:val="ListParagraph"/>
        <w:numPr>
          <w:ilvl w:val="0"/>
          <w:numId w:val="42"/>
        </w:numPr>
        <w:spacing w:after="200" w:line="276" w:lineRule="auto"/>
        <w:jc w:val="both"/>
        <w:rPr>
          <w:rFonts w:ascii="Arial" w:hAnsi="Arial" w:cs="Arial"/>
          <w:bCs/>
          <w:sz w:val="20"/>
          <w:lang w:val="en-ZA"/>
        </w:rPr>
      </w:pPr>
      <w:r w:rsidRPr="007133D2">
        <w:rPr>
          <w:rFonts w:ascii="Arial" w:hAnsi="Arial" w:cs="Arial"/>
          <w:bCs/>
          <w:sz w:val="20"/>
          <w:lang w:val="en-ZA"/>
        </w:rPr>
        <w:t>Proof of ownership / shareholding (preferably CIPC documentation) inclusive of shareholding breakdown</w:t>
      </w:r>
    </w:p>
    <w:p w14:paraId="7FAB6BC1" w14:textId="77777777" w:rsidR="00D41C65" w:rsidRPr="007133D2" w:rsidRDefault="00D41C65" w:rsidP="00D41C65">
      <w:pPr>
        <w:pStyle w:val="ListParagraph"/>
        <w:numPr>
          <w:ilvl w:val="0"/>
          <w:numId w:val="42"/>
        </w:numPr>
        <w:spacing w:after="200" w:line="276" w:lineRule="auto"/>
        <w:jc w:val="both"/>
        <w:rPr>
          <w:rFonts w:ascii="Arial" w:hAnsi="Arial" w:cs="Arial"/>
          <w:bCs/>
          <w:sz w:val="20"/>
          <w:lang w:val="en-ZA"/>
        </w:rPr>
      </w:pPr>
      <w:r w:rsidRPr="007133D2">
        <w:rPr>
          <w:rFonts w:ascii="Arial" w:hAnsi="Arial" w:cs="Arial"/>
          <w:bCs/>
          <w:sz w:val="20"/>
          <w:lang w:val="en-ZA"/>
        </w:rPr>
        <w:t>Certified ID copies of shareholder(s)</w:t>
      </w:r>
    </w:p>
    <w:p w14:paraId="6E51B609" w14:textId="77777777" w:rsidR="00D41C65" w:rsidRDefault="00D41C65" w:rsidP="00D41C65">
      <w:pPr>
        <w:pStyle w:val="ListParagraph"/>
        <w:numPr>
          <w:ilvl w:val="0"/>
          <w:numId w:val="42"/>
        </w:numPr>
        <w:spacing w:after="200" w:line="276" w:lineRule="auto"/>
        <w:jc w:val="both"/>
        <w:rPr>
          <w:rFonts w:ascii="Arial" w:hAnsi="Arial" w:cs="Arial"/>
          <w:bCs/>
          <w:sz w:val="20"/>
          <w:lang w:val="en-ZA"/>
        </w:rPr>
      </w:pPr>
      <w:r w:rsidRPr="007133D2">
        <w:rPr>
          <w:rFonts w:ascii="Arial" w:hAnsi="Arial" w:cs="Arial"/>
          <w:bCs/>
          <w:sz w:val="20"/>
          <w:lang w:val="en-ZA"/>
        </w:rPr>
        <w:t>Proof of Disability (where applicable)</w:t>
      </w:r>
    </w:p>
    <w:p w14:paraId="4FC158E7" w14:textId="77777777" w:rsidR="00D41C65" w:rsidRDefault="00D41C65" w:rsidP="00D41C65">
      <w:pPr>
        <w:spacing w:after="200" w:line="276" w:lineRule="auto"/>
        <w:jc w:val="both"/>
        <w:rPr>
          <w:rFonts w:ascii="Arial" w:hAnsi="Arial" w:cs="Arial"/>
          <w:bCs/>
          <w:sz w:val="20"/>
          <w:lang w:val="en-ZA"/>
        </w:rPr>
      </w:pPr>
    </w:p>
    <w:p w14:paraId="477C6378" w14:textId="77777777" w:rsidR="00D41C65" w:rsidRPr="00026784" w:rsidRDefault="00D41C65" w:rsidP="00D41C65">
      <w:pPr>
        <w:spacing w:after="200" w:line="276" w:lineRule="auto"/>
        <w:jc w:val="both"/>
        <w:rPr>
          <w:rFonts w:ascii="Arial" w:hAnsi="Arial" w:cs="Arial"/>
          <w:bCs/>
          <w:sz w:val="20"/>
          <w:lang w:val="en-ZA"/>
        </w:rPr>
      </w:pPr>
    </w:p>
    <w:p w14:paraId="0A00CC5D" w14:textId="77777777" w:rsidR="00D41C65" w:rsidRPr="007133D2" w:rsidRDefault="00D41C65" w:rsidP="00D41C65">
      <w:pPr>
        <w:spacing w:after="200" w:line="276" w:lineRule="auto"/>
        <w:contextualSpacing/>
        <w:jc w:val="both"/>
        <w:rPr>
          <w:rFonts w:ascii="Arial" w:hAnsi="Arial" w:cs="Arial"/>
          <w:b/>
          <w:color w:val="FF0000"/>
          <w:sz w:val="20"/>
          <w:lang w:val="en-ZA"/>
        </w:rPr>
      </w:pPr>
      <w:r w:rsidRPr="007133D2">
        <w:rPr>
          <w:rFonts w:ascii="Arial" w:hAnsi="Arial" w:cs="Arial"/>
          <w:b/>
          <w:color w:val="FF0000"/>
          <w:sz w:val="20"/>
          <w:lang w:val="en-ZA"/>
        </w:rPr>
        <w:lastRenderedPageBreak/>
        <w:t>Tenderer failing to provide documentation for the allocation of preference points will not be disqualified, but’</w:t>
      </w:r>
    </w:p>
    <w:p w14:paraId="5BACB020" w14:textId="4BDF5EFA" w:rsidR="00D41C65" w:rsidRPr="007133D2" w:rsidRDefault="00D41C65" w:rsidP="00D41C65">
      <w:pPr>
        <w:pStyle w:val="ListParagraph"/>
        <w:numPr>
          <w:ilvl w:val="0"/>
          <w:numId w:val="43"/>
        </w:numPr>
        <w:spacing w:after="200" w:line="276" w:lineRule="auto"/>
        <w:jc w:val="both"/>
        <w:rPr>
          <w:rFonts w:ascii="Arial" w:hAnsi="Arial" w:cs="Arial"/>
          <w:bCs/>
          <w:sz w:val="20"/>
          <w:lang w:val="en-ZA"/>
        </w:rPr>
      </w:pPr>
      <w:r w:rsidRPr="007133D2">
        <w:rPr>
          <w:rFonts w:ascii="Arial" w:hAnsi="Arial" w:cs="Arial"/>
          <w:bCs/>
          <w:sz w:val="20"/>
          <w:lang w:val="en-ZA"/>
        </w:rPr>
        <w:t xml:space="preserve">May only score </w:t>
      </w:r>
      <w:r w:rsidR="003038B4">
        <w:rPr>
          <w:rFonts w:ascii="Arial" w:hAnsi="Arial" w:cs="Arial"/>
          <w:bCs/>
          <w:sz w:val="20"/>
          <w:lang w:val="en-ZA"/>
        </w:rPr>
        <w:t xml:space="preserve">0 </w:t>
      </w:r>
      <w:r w:rsidRPr="007133D2">
        <w:rPr>
          <w:rFonts w:ascii="Arial" w:hAnsi="Arial" w:cs="Arial"/>
          <w:bCs/>
          <w:sz w:val="20"/>
          <w:lang w:val="en-ZA"/>
        </w:rPr>
        <w:t>point out of 90/80</w:t>
      </w:r>
      <w:r>
        <w:rPr>
          <w:rFonts w:ascii="Arial" w:hAnsi="Arial" w:cs="Arial"/>
          <w:bCs/>
          <w:sz w:val="20"/>
          <w:lang w:val="en-ZA"/>
        </w:rPr>
        <w:t xml:space="preserve"> for price</w:t>
      </w:r>
    </w:p>
    <w:p w14:paraId="0AED9924" w14:textId="77777777" w:rsidR="00D41C65" w:rsidRPr="007133D2" w:rsidRDefault="00D41C65" w:rsidP="00D41C65">
      <w:pPr>
        <w:pStyle w:val="ListParagraph"/>
        <w:numPr>
          <w:ilvl w:val="0"/>
          <w:numId w:val="43"/>
        </w:numPr>
        <w:spacing w:after="200" w:line="276" w:lineRule="auto"/>
        <w:jc w:val="both"/>
        <w:rPr>
          <w:rFonts w:ascii="Arial" w:hAnsi="Arial" w:cs="Arial"/>
          <w:bCs/>
          <w:sz w:val="20"/>
          <w:lang w:val="en-ZA"/>
        </w:rPr>
      </w:pPr>
      <w:r w:rsidRPr="007133D2">
        <w:rPr>
          <w:rFonts w:ascii="Arial" w:hAnsi="Arial" w:cs="Arial"/>
          <w:bCs/>
          <w:sz w:val="20"/>
          <w:lang w:val="en-ZA"/>
        </w:rPr>
        <w:t>Scores 0 points out of 10/20 for specific goals</w:t>
      </w:r>
    </w:p>
    <w:p w14:paraId="46FD2D46" w14:textId="5E9853C2" w:rsidR="000D348C" w:rsidRDefault="007369F7" w:rsidP="000D348C">
      <w:pPr>
        <w:autoSpaceDE w:val="0"/>
        <w:autoSpaceDN w:val="0"/>
        <w:adjustRightInd w:val="0"/>
        <w:rPr>
          <w:rFonts w:ascii="Arial" w:hAnsi="Arial" w:cs="Arial"/>
          <w:b/>
        </w:rPr>
      </w:pPr>
      <w:r>
        <w:rPr>
          <w:rFonts w:ascii="Arial" w:hAnsi="Arial" w:cs="Arial"/>
          <w:sz w:val="22"/>
        </w:rPr>
        <w:t xml:space="preserve">Section </w:t>
      </w:r>
      <w:r w:rsidR="00044600">
        <w:rPr>
          <w:rFonts w:ascii="Arial" w:hAnsi="Arial" w:cs="Arial"/>
          <w:sz w:val="22"/>
        </w:rPr>
        <w:t>2</w:t>
      </w:r>
      <w:r w:rsidR="00304117" w:rsidRPr="003E052A">
        <w:rPr>
          <w:rFonts w:ascii="Arial" w:hAnsi="Arial" w:cs="Arial"/>
          <w:b/>
        </w:rPr>
        <w:t xml:space="preserve">: </w:t>
      </w:r>
      <w:r w:rsidR="000D348C">
        <w:rPr>
          <w:rFonts w:ascii="Arial" w:hAnsi="Arial" w:cs="Arial"/>
          <w:b/>
        </w:rPr>
        <w:t xml:space="preserve"> Objective criteria </w:t>
      </w:r>
    </w:p>
    <w:p w14:paraId="2119F939" w14:textId="77777777" w:rsidR="007369F7" w:rsidRDefault="007369F7" w:rsidP="000D348C">
      <w:pPr>
        <w:autoSpaceDE w:val="0"/>
        <w:autoSpaceDN w:val="0"/>
        <w:adjustRightInd w:val="0"/>
        <w:rPr>
          <w:rFonts w:ascii="Arial" w:hAnsi="Arial" w:cs="Arial"/>
          <w:b/>
        </w:rPr>
      </w:pPr>
    </w:p>
    <w:p w14:paraId="1FF0D80B" w14:textId="7F8A1926" w:rsidR="009A77EC" w:rsidRDefault="000D348C" w:rsidP="00F83DF3">
      <w:pPr>
        <w:autoSpaceDE w:val="0"/>
        <w:autoSpaceDN w:val="0"/>
        <w:adjustRightInd w:val="0"/>
        <w:spacing w:line="276" w:lineRule="auto"/>
        <w:jc w:val="both"/>
        <w:rPr>
          <w:rFonts w:ascii="Arial" w:hAnsi="Arial" w:cs="Arial"/>
          <w:b/>
        </w:rPr>
      </w:pPr>
      <w:r>
        <w:rPr>
          <w:rFonts w:ascii="Helvetica" w:eastAsiaTheme="minorHAnsi" w:hAnsi="Helvetica" w:cs="Helvetica"/>
          <w:sz w:val="21"/>
          <w:szCs w:val="21"/>
          <w:lang w:val="en-ZA"/>
        </w:rPr>
        <w:t>The inclusion of objective criteria in an enquiry is not mandatory but a condition for contract award, and if included, this must align with the requirements of the PPPFA [clause 2(1)(f)] and be clearly stated in the enquiry together with the consequence of such objective criteria (i.e., if the tenderer does not meet objective criteria; it may lead to the second-ranked tenderer being recommended for award).</w:t>
      </w:r>
    </w:p>
    <w:p w14:paraId="759CF13D" w14:textId="14D22753" w:rsidR="00304117" w:rsidRPr="00816D48" w:rsidRDefault="00044600" w:rsidP="00105474">
      <w:pPr>
        <w:spacing w:before="120" w:after="120" w:line="276" w:lineRule="auto"/>
        <w:rPr>
          <w:rFonts w:ascii="Arial" w:hAnsi="Arial" w:cs="Arial"/>
          <w:b/>
          <w:sz w:val="22"/>
        </w:rPr>
      </w:pPr>
      <w:r>
        <w:rPr>
          <w:rFonts w:ascii="Arial" w:hAnsi="Arial" w:cs="Arial"/>
          <w:b/>
          <w:sz w:val="22"/>
        </w:rPr>
        <w:t>2</w:t>
      </w:r>
      <w:r w:rsidR="00C95EC4">
        <w:rPr>
          <w:rFonts w:ascii="Arial" w:hAnsi="Arial" w:cs="Arial"/>
          <w:b/>
          <w:sz w:val="22"/>
        </w:rPr>
        <w:t>.1</w:t>
      </w:r>
      <w:r w:rsidR="00074C17">
        <w:rPr>
          <w:rFonts w:ascii="Arial" w:hAnsi="Arial" w:cs="Arial"/>
          <w:b/>
          <w:sz w:val="22"/>
        </w:rPr>
        <w:t xml:space="preserve"> Designated Sectors</w:t>
      </w:r>
      <w:r w:rsidR="00837F50">
        <w:rPr>
          <w:rFonts w:ascii="Arial" w:hAnsi="Arial" w:cs="Arial"/>
          <w:b/>
          <w:sz w:val="22"/>
        </w:rPr>
        <w:t xml:space="preserve"> </w:t>
      </w:r>
    </w:p>
    <w:tbl>
      <w:tblPr>
        <w:tblStyle w:val="TableGrid"/>
        <w:tblW w:w="9407" w:type="dxa"/>
        <w:tblLook w:val="04A0" w:firstRow="1" w:lastRow="0" w:firstColumn="1" w:lastColumn="0" w:noHBand="0" w:noVBand="1"/>
      </w:tblPr>
      <w:tblGrid>
        <w:gridCol w:w="9407"/>
      </w:tblGrid>
      <w:tr w:rsidR="00213331" w:rsidRPr="00726078" w14:paraId="6DE87AA1" w14:textId="77777777" w:rsidTr="00213331">
        <w:trPr>
          <w:trHeight w:val="447"/>
        </w:trPr>
        <w:tc>
          <w:tcPr>
            <w:tcW w:w="9407" w:type="dxa"/>
            <w:shd w:val="clear" w:color="auto" w:fill="000000" w:themeFill="text1"/>
          </w:tcPr>
          <w:p w14:paraId="6A698A38" w14:textId="77777777" w:rsidR="00213331" w:rsidRPr="00726078" w:rsidRDefault="00213331" w:rsidP="005F06D8">
            <w:pPr>
              <w:tabs>
                <w:tab w:val="left" w:pos="720"/>
              </w:tabs>
              <w:jc w:val="both"/>
              <w:rPr>
                <w:rFonts w:ascii="Arial" w:hAnsi="Arial" w:cs="Arial"/>
                <w:b/>
                <w:sz w:val="20"/>
              </w:rPr>
            </w:pPr>
            <w:r>
              <w:rPr>
                <w:rFonts w:ascii="Arial" w:hAnsi="Arial" w:cs="Arial"/>
                <w:sz w:val="20"/>
              </w:rPr>
              <w:t>When applicable</w:t>
            </w:r>
            <w:r w:rsidRPr="00726078">
              <w:rPr>
                <w:rFonts w:ascii="Arial" w:hAnsi="Arial" w:cs="Arial"/>
                <w:sz w:val="20"/>
              </w:rPr>
              <w:t xml:space="preserve"> the following stipulated minimum threshold for Local Production and Content must be achieved in full by the tenderer</w:t>
            </w:r>
          </w:p>
        </w:tc>
      </w:tr>
      <w:tr w:rsidR="00213331" w:rsidRPr="00726078" w14:paraId="1C2433E9" w14:textId="77777777" w:rsidTr="00B62C97">
        <w:trPr>
          <w:trHeight w:val="2813"/>
        </w:trPr>
        <w:tc>
          <w:tcPr>
            <w:tcW w:w="9407" w:type="dxa"/>
          </w:tcPr>
          <w:p w14:paraId="0AB56F19" w14:textId="77777777" w:rsidR="00213331" w:rsidRPr="00EB6A30" w:rsidRDefault="00213331" w:rsidP="005F06D8">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2"/>
              <w:gridCol w:w="1231"/>
              <w:gridCol w:w="1388"/>
            </w:tblGrid>
            <w:tr w:rsidR="00213331" w:rsidRPr="00567676" w14:paraId="6B65D66F" w14:textId="77777777" w:rsidTr="005F06D8">
              <w:trPr>
                <w:trHeight w:val="365"/>
              </w:trPr>
              <w:tc>
                <w:tcPr>
                  <w:tcW w:w="5522" w:type="dxa"/>
                  <w:tcBorders>
                    <w:right w:val="single" w:sz="4" w:space="0" w:color="auto"/>
                  </w:tcBorders>
                </w:tcPr>
                <w:p w14:paraId="6D73C841" w14:textId="77777777" w:rsidR="00213331" w:rsidRPr="00EB6A30" w:rsidRDefault="00213331" w:rsidP="005F06D8">
                  <w:pPr>
                    <w:spacing w:before="60" w:after="60"/>
                    <w:rPr>
                      <w:rFonts w:ascii="Arial" w:hAnsi="Arial" w:cs="Arial"/>
                      <w:sz w:val="20"/>
                    </w:rPr>
                  </w:pPr>
                </w:p>
              </w:tc>
              <w:tc>
                <w:tcPr>
                  <w:tcW w:w="1231" w:type="dxa"/>
                  <w:tcBorders>
                    <w:top w:val="single" w:sz="4" w:space="0" w:color="auto"/>
                    <w:left w:val="single" w:sz="4" w:space="0" w:color="auto"/>
                    <w:bottom w:val="single" w:sz="4" w:space="0" w:color="auto"/>
                    <w:right w:val="single" w:sz="4" w:space="0" w:color="auto"/>
                  </w:tcBorders>
                </w:tcPr>
                <w:p w14:paraId="0DD64BF8" w14:textId="77777777" w:rsidR="00213331" w:rsidRPr="00973722" w:rsidRDefault="00213331" w:rsidP="005F06D8">
                  <w:pPr>
                    <w:spacing w:before="60" w:after="60"/>
                    <w:jc w:val="center"/>
                    <w:rPr>
                      <w:rFonts w:ascii="Arial" w:hAnsi="Arial" w:cs="Arial"/>
                      <w:b/>
                      <w:sz w:val="20"/>
                    </w:rPr>
                  </w:pPr>
                  <w:r w:rsidRPr="00973722">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712D215D" w14:textId="77777777" w:rsidR="00213331" w:rsidRPr="00973722" w:rsidRDefault="00213331" w:rsidP="005F06D8">
                  <w:pPr>
                    <w:spacing w:before="60" w:after="60"/>
                    <w:jc w:val="center"/>
                    <w:rPr>
                      <w:rFonts w:ascii="Arial" w:hAnsi="Arial" w:cs="Arial"/>
                      <w:b/>
                      <w:sz w:val="20"/>
                    </w:rPr>
                  </w:pPr>
                  <w:r w:rsidRPr="00973722">
                    <w:rPr>
                      <w:rFonts w:ascii="Arial" w:hAnsi="Arial" w:cs="Arial"/>
                      <w:b/>
                      <w:sz w:val="20"/>
                    </w:rPr>
                    <w:t>NO</w:t>
                  </w:r>
                </w:p>
              </w:tc>
            </w:tr>
            <w:tr w:rsidR="00213331" w:rsidRPr="00973722" w14:paraId="50C6647B" w14:textId="77777777" w:rsidTr="005F06D8">
              <w:trPr>
                <w:trHeight w:val="491"/>
              </w:trPr>
              <w:tc>
                <w:tcPr>
                  <w:tcW w:w="5522" w:type="dxa"/>
                  <w:tcBorders>
                    <w:right w:val="single" w:sz="4" w:space="0" w:color="auto"/>
                  </w:tcBorders>
                </w:tcPr>
                <w:p w14:paraId="3CE03EA9" w14:textId="77777777" w:rsidR="00213331" w:rsidRPr="00973722" w:rsidRDefault="00213331" w:rsidP="00213331">
                  <w:pPr>
                    <w:pStyle w:val="ListParagraph"/>
                    <w:numPr>
                      <w:ilvl w:val="0"/>
                      <w:numId w:val="10"/>
                    </w:numPr>
                    <w:rPr>
                      <w:rFonts w:ascii="Arial" w:hAnsi="Arial" w:cs="Arial"/>
                      <w:sz w:val="20"/>
                    </w:rPr>
                  </w:pPr>
                  <w:r w:rsidRPr="00973722">
                    <w:rPr>
                      <w:rFonts w:ascii="Arial" w:hAnsi="Arial" w:cs="Arial"/>
                      <w:sz w:val="20"/>
                    </w:rPr>
                    <w:t xml:space="preserve">Is this Commodity or part of it a Designated Sector?     </w:t>
                  </w:r>
                </w:p>
              </w:tc>
              <w:sdt>
                <w:sdtPr>
                  <w:rPr>
                    <w:rFonts w:ascii="Arial" w:hAnsi="Arial" w:cs="Arial"/>
                    <w:sz w:val="20"/>
                  </w:rPr>
                  <w:id w:val="1261260003"/>
                  <w14:checkbox>
                    <w14:checked w14:val="1"/>
                    <w14:checkedState w14:val="0052" w14:font="Wingdings 2"/>
                    <w14:uncheckedState w14:val="2610" w14:font="MS Gothic"/>
                  </w14:checkbox>
                </w:sdtPr>
                <w:sdtEndPr/>
                <w:sdtContent>
                  <w:tc>
                    <w:tcPr>
                      <w:tcW w:w="1231" w:type="dxa"/>
                      <w:tcBorders>
                        <w:top w:val="single" w:sz="4" w:space="0" w:color="auto"/>
                        <w:left w:val="single" w:sz="4" w:space="0" w:color="auto"/>
                        <w:bottom w:val="single" w:sz="4" w:space="0" w:color="auto"/>
                        <w:right w:val="single" w:sz="4" w:space="0" w:color="auto"/>
                      </w:tcBorders>
                    </w:tcPr>
                    <w:p w14:paraId="01D0A740" w14:textId="41B44CF9" w:rsidR="00213331" w:rsidRPr="00973722" w:rsidRDefault="007405EA" w:rsidP="005F06D8">
                      <w:pPr>
                        <w:spacing w:before="60" w:after="60"/>
                        <w:jc w:val="center"/>
                        <w:rPr>
                          <w:rFonts w:ascii="Arial" w:hAnsi="Arial" w:cs="Arial"/>
                          <w:sz w:val="20"/>
                        </w:rPr>
                      </w:pPr>
                      <w:r w:rsidRPr="00973722">
                        <w:rPr>
                          <w:rFonts w:ascii="Arial" w:hAnsi="Arial" w:cs="Arial"/>
                          <w:sz w:val="20"/>
                        </w:rPr>
                        <w:sym w:font="Wingdings 2" w:char="F052"/>
                      </w:r>
                    </w:p>
                  </w:tc>
                </w:sdtContent>
              </w:sdt>
              <w:sdt>
                <w:sdtPr>
                  <w:rPr>
                    <w:rFonts w:ascii="Arial" w:hAnsi="Arial" w:cs="Arial"/>
                    <w:sz w:val="20"/>
                  </w:rPr>
                  <w:id w:val="-224998445"/>
                  <w14:checkbox>
                    <w14:checked w14:val="0"/>
                    <w14:checkedState w14:val="0052" w14:font="Wingdings 2"/>
                    <w14:uncheckedState w14:val="2610" w14:font="MS Gothic"/>
                  </w14:checkbox>
                </w:sdtPr>
                <w:sdtEndPr/>
                <w:sdtContent>
                  <w:tc>
                    <w:tcPr>
                      <w:tcW w:w="1388" w:type="dxa"/>
                      <w:tcBorders>
                        <w:top w:val="single" w:sz="4" w:space="0" w:color="auto"/>
                        <w:left w:val="single" w:sz="4" w:space="0" w:color="auto"/>
                        <w:bottom w:val="single" w:sz="4" w:space="0" w:color="auto"/>
                        <w:right w:val="single" w:sz="4" w:space="0" w:color="auto"/>
                      </w:tcBorders>
                    </w:tcPr>
                    <w:p w14:paraId="3CACEB29" w14:textId="77777777" w:rsidR="00213331" w:rsidRPr="00973722" w:rsidRDefault="00213331" w:rsidP="005F06D8">
                      <w:pPr>
                        <w:spacing w:before="60" w:after="60"/>
                        <w:jc w:val="center"/>
                        <w:rPr>
                          <w:rFonts w:ascii="Arial" w:hAnsi="Arial" w:cs="Arial"/>
                          <w:sz w:val="20"/>
                        </w:rPr>
                      </w:pPr>
                      <w:r w:rsidRPr="00973722">
                        <w:rPr>
                          <w:rFonts w:ascii="MS Gothic" w:eastAsia="MS Gothic" w:hAnsi="MS Gothic" w:cs="Arial"/>
                          <w:sz w:val="20"/>
                        </w:rPr>
                        <w:t>☐</w:t>
                      </w:r>
                    </w:p>
                  </w:tc>
                </w:sdtContent>
              </w:sdt>
            </w:tr>
          </w:tbl>
          <w:p w14:paraId="35B4795A" w14:textId="77777777" w:rsidR="00B62C97" w:rsidRDefault="00B62C97" w:rsidP="005F06D8">
            <w:pPr>
              <w:spacing w:before="60" w:after="60" w:line="276" w:lineRule="auto"/>
              <w:rPr>
                <w:rFonts w:ascii="Arial" w:hAnsi="Arial" w:cs="Arial"/>
                <w:b/>
                <w:sz w:val="20"/>
              </w:rPr>
            </w:pPr>
          </w:p>
          <w:p w14:paraId="09EF0A6C" w14:textId="77777777" w:rsidR="00B62C97" w:rsidRDefault="00B62C97" w:rsidP="005F06D8">
            <w:pPr>
              <w:spacing w:before="60" w:after="60" w:line="276" w:lineRule="auto"/>
              <w:rPr>
                <w:rFonts w:ascii="Arial" w:hAnsi="Arial" w:cs="Arial"/>
                <w:b/>
                <w:sz w:val="20"/>
              </w:rPr>
            </w:pPr>
          </w:p>
          <w:p w14:paraId="69B692A2" w14:textId="67A0411E" w:rsidR="00213331" w:rsidRPr="00726078" w:rsidRDefault="00213331" w:rsidP="005F06D8">
            <w:pPr>
              <w:spacing w:before="60" w:after="60" w:line="276" w:lineRule="auto"/>
              <w:rPr>
                <w:rFonts w:ascii="Arial" w:hAnsi="Arial" w:cs="Arial"/>
                <w:sz w:val="20"/>
              </w:rPr>
            </w:pPr>
            <w:r w:rsidRPr="00973722">
              <w:rPr>
                <w:rFonts w:ascii="Arial" w:hAnsi="Arial" w:cs="Arial"/>
                <w:b/>
                <w:sz w:val="20"/>
              </w:rPr>
              <w:t>NOTE</w:t>
            </w:r>
            <w:r w:rsidRPr="00973722">
              <w:rPr>
                <w:rFonts w:ascii="Arial" w:hAnsi="Arial" w:cs="Arial"/>
                <w:sz w:val="20"/>
              </w:rPr>
              <w:t>: SBD 6.2 Declaration Form and Annexure C (Local Content Declaration-Summary Schedule) i</w:t>
            </w:r>
            <w:r w:rsidRPr="00DE4513">
              <w:rPr>
                <w:rFonts w:ascii="Arial" w:hAnsi="Arial" w:cs="Arial"/>
                <w:sz w:val="20"/>
              </w:rPr>
              <w:t>s</w:t>
            </w:r>
            <w:r w:rsidRPr="00EB6A30">
              <w:rPr>
                <w:rFonts w:ascii="Arial" w:hAnsi="Arial" w:cs="Arial"/>
                <w:sz w:val="20"/>
              </w:rPr>
              <w:t xml:space="preserve"> therefore </w:t>
            </w:r>
            <w:r w:rsidRPr="00EB6A30">
              <w:rPr>
                <w:rFonts w:ascii="Arial" w:hAnsi="Arial" w:cs="Arial"/>
                <w:b/>
                <w:sz w:val="20"/>
              </w:rPr>
              <w:t xml:space="preserve">mandatory </w:t>
            </w:r>
            <w:r w:rsidRPr="00EB6A30">
              <w:rPr>
                <w:rFonts w:ascii="Arial" w:hAnsi="Arial" w:cs="Arial"/>
                <w:sz w:val="20"/>
              </w:rPr>
              <w:t>and must be a tender returnable.</w:t>
            </w:r>
          </w:p>
        </w:tc>
      </w:tr>
    </w:tbl>
    <w:p w14:paraId="1799053F" w14:textId="4A34496F" w:rsidR="003C4951" w:rsidRDefault="003C4951" w:rsidP="002319CA">
      <w:pPr>
        <w:spacing w:before="60" w:after="60" w:line="276" w:lineRule="auto"/>
        <w:rPr>
          <w:rFonts w:ascii="Arial" w:hAnsi="Arial" w:cs="Arial"/>
          <w:b/>
          <w:sz w:val="20"/>
        </w:rPr>
      </w:pPr>
    </w:p>
    <w:p w14:paraId="52F1F3FA" w14:textId="3A6C12D7" w:rsidR="00213331" w:rsidRDefault="00044600" w:rsidP="002319CA">
      <w:pPr>
        <w:spacing w:before="60" w:after="60" w:line="276" w:lineRule="auto"/>
        <w:rPr>
          <w:rFonts w:ascii="Arial" w:hAnsi="Arial" w:cs="Arial"/>
          <w:b/>
          <w:color w:val="000000" w:themeColor="text1"/>
          <w:sz w:val="22"/>
        </w:rPr>
      </w:pPr>
      <w:r>
        <w:rPr>
          <w:rFonts w:ascii="Arial" w:hAnsi="Arial" w:cs="Arial"/>
          <w:b/>
          <w:sz w:val="22"/>
        </w:rPr>
        <w:t>2</w:t>
      </w:r>
      <w:r w:rsidR="00213331">
        <w:rPr>
          <w:rFonts w:ascii="Arial" w:hAnsi="Arial" w:cs="Arial"/>
          <w:b/>
          <w:sz w:val="22"/>
        </w:rPr>
        <w:t xml:space="preserve">.2 </w:t>
      </w:r>
      <w:r w:rsidR="00213331" w:rsidRPr="00816D48">
        <w:rPr>
          <w:rFonts w:ascii="Arial" w:hAnsi="Arial" w:cs="Arial"/>
          <w:b/>
          <w:sz w:val="22"/>
        </w:rPr>
        <w:t xml:space="preserve">CIDB Skills Development </w:t>
      </w:r>
      <w:r w:rsidR="00213331" w:rsidRPr="00277739">
        <w:rPr>
          <w:rFonts w:ascii="Arial" w:hAnsi="Arial" w:cs="Arial"/>
          <w:b/>
          <w:color w:val="000000" w:themeColor="text1"/>
          <w:sz w:val="22"/>
        </w:rPr>
        <w:t>this is a construction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213331" w:rsidRPr="00EB6A30" w14:paraId="60CF551E" w14:textId="77777777" w:rsidTr="005F06D8">
        <w:tc>
          <w:tcPr>
            <w:tcW w:w="5680" w:type="dxa"/>
            <w:tcBorders>
              <w:right w:val="single" w:sz="4" w:space="0" w:color="auto"/>
            </w:tcBorders>
          </w:tcPr>
          <w:p w14:paraId="5D2DB4B4" w14:textId="77777777" w:rsidR="00213331" w:rsidRPr="00EB6A30" w:rsidRDefault="00213331" w:rsidP="005F06D8">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D7A38A7" w14:textId="77777777" w:rsidR="00213331" w:rsidRPr="00EB6A30" w:rsidRDefault="00213331" w:rsidP="005F06D8">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14DC41A7" w14:textId="77777777" w:rsidR="00213331" w:rsidRPr="00EB6A30" w:rsidRDefault="00213331" w:rsidP="005F06D8">
            <w:pPr>
              <w:spacing w:before="60" w:after="60"/>
              <w:jc w:val="center"/>
              <w:rPr>
                <w:rFonts w:ascii="Arial" w:hAnsi="Arial" w:cs="Arial"/>
                <w:b/>
                <w:sz w:val="20"/>
              </w:rPr>
            </w:pPr>
            <w:r w:rsidRPr="00EB6A30">
              <w:rPr>
                <w:rFonts w:ascii="Arial" w:hAnsi="Arial" w:cs="Arial"/>
                <w:b/>
                <w:sz w:val="20"/>
              </w:rPr>
              <w:t>NO</w:t>
            </w:r>
          </w:p>
        </w:tc>
      </w:tr>
      <w:tr w:rsidR="00213331" w:rsidRPr="00EB6A30" w14:paraId="51D39FF1" w14:textId="77777777" w:rsidTr="005F06D8">
        <w:tc>
          <w:tcPr>
            <w:tcW w:w="5680" w:type="dxa"/>
            <w:tcBorders>
              <w:right w:val="single" w:sz="4" w:space="0" w:color="auto"/>
            </w:tcBorders>
          </w:tcPr>
          <w:p w14:paraId="0D015B9C" w14:textId="77777777" w:rsidR="00213331" w:rsidRPr="00EB6A30" w:rsidRDefault="00213331" w:rsidP="005F06D8">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8241EE1" w14:textId="1B99D407" w:rsidR="00213331" w:rsidRPr="00EB6A30" w:rsidRDefault="00213331" w:rsidP="005F06D8">
                <w:pPr>
                  <w:spacing w:before="60" w:after="60"/>
                  <w:jc w:val="center"/>
                  <w:rPr>
                    <w:rFonts w:ascii="Arial" w:hAnsi="Arial" w:cs="Arial"/>
                    <w:sz w:val="20"/>
                  </w:rPr>
                </w:pPr>
                <w:r>
                  <w:rPr>
                    <w:rFonts w:ascii="Arial" w:hAnsi="Arial" w:cs="Arial"/>
                    <w:sz w:val="20"/>
                  </w:rPr>
                  <w:sym w:font="Wingdings 2" w:char="F052"/>
                </w:r>
              </w:p>
            </w:tc>
          </w:sdtContent>
        </w:sdt>
        <w:sdt>
          <w:sdtPr>
            <w:rPr>
              <w:rFonts w:ascii="Arial" w:hAnsi="Arial" w:cs="Arial"/>
              <w:sz w:val="20"/>
            </w:rPr>
            <w:id w:val="1588959724"/>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CC161D8" w14:textId="77777777" w:rsidR="00213331" w:rsidRPr="00EB6A30" w:rsidRDefault="00213331" w:rsidP="005F06D8">
                <w:pPr>
                  <w:spacing w:before="60" w:after="60"/>
                  <w:jc w:val="center"/>
                  <w:rPr>
                    <w:rFonts w:ascii="Arial" w:hAnsi="Arial" w:cs="Arial"/>
                    <w:sz w:val="20"/>
                  </w:rPr>
                </w:pPr>
                <w:r>
                  <w:rPr>
                    <w:rFonts w:ascii="MS Gothic" w:eastAsia="MS Gothic" w:hAnsi="MS Gothic" w:cs="Arial" w:hint="eastAsia"/>
                    <w:sz w:val="20"/>
                  </w:rPr>
                  <w:t>☐</w:t>
                </w:r>
              </w:p>
            </w:tc>
          </w:sdtContent>
        </w:sdt>
      </w:tr>
      <w:tr w:rsidR="00213331" w:rsidRPr="00EB6A30" w14:paraId="5BAF8184" w14:textId="77777777" w:rsidTr="005F06D8">
        <w:tc>
          <w:tcPr>
            <w:tcW w:w="5680" w:type="dxa"/>
            <w:tcBorders>
              <w:right w:val="single" w:sz="4" w:space="0" w:color="auto"/>
            </w:tcBorders>
          </w:tcPr>
          <w:p w14:paraId="3EABBFC9" w14:textId="77777777" w:rsidR="00213331" w:rsidRPr="00EB6A30" w:rsidRDefault="00213331" w:rsidP="005F06D8">
            <w:pPr>
              <w:rPr>
                <w:rFonts w:ascii="Arial" w:hAnsi="Arial" w:cs="Arial"/>
                <w:sz w:val="20"/>
              </w:rPr>
            </w:pPr>
            <w:r w:rsidRPr="00EB6A30">
              <w:rPr>
                <w:rFonts w:ascii="Arial" w:hAnsi="Arial" w:cs="Arial"/>
                <w:sz w:val="20"/>
              </w:rPr>
              <w:t xml:space="preserve">If </w:t>
            </w:r>
            <w:proofErr w:type="gramStart"/>
            <w:r w:rsidRPr="00EB6A30">
              <w:rPr>
                <w:rFonts w:ascii="Arial" w:hAnsi="Arial" w:cs="Arial"/>
                <w:i/>
                <w:sz w:val="20"/>
              </w:rPr>
              <w:t>Yes</w:t>
            </w:r>
            <w:proofErr w:type="gramEnd"/>
            <w:r w:rsidRPr="00EB6A30">
              <w:rPr>
                <w:rFonts w:ascii="Arial" w:hAnsi="Arial" w:cs="Arial"/>
                <w:i/>
                <w:sz w:val="20"/>
              </w:rPr>
              <w:t>,</w:t>
            </w:r>
            <w:r w:rsidRPr="00EB6A30">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5DE956B0" w14:textId="32CC566F" w:rsidR="00213331" w:rsidRPr="00EB6A30" w:rsidRDefault="005E2693" w:rsidP="005F06D8">
            <w:pPr>
              <w:spacing w:before="60" w:after="60"/>
              <w:jc w:val="center"/>
              <w:rPr>
                <w:rFonts w:ascii="Arial" w:hAnsi="Arial" w:cs="Arial"/>
                <w:b/>
                <w:sz w:val="20"/>
                <w:highlight w:val="yellow"/>
              </w:rPr>
            </w:pPr>
            <w:r>
              <w:rPr>
                <w:rFonts w:ascii="Arial" w:hAnsi="Arial" w:cs="Arial"/>
                <w:b/>
                <w:sz w:val="20"/>
                <w:highlight w:val="yellow"/>
              </w:rPr>
              <w:t>0.5%</w:t>
            </w:r>
          </w:p>
        </w:tc>
      </w:tr>
      <w:tr w:rsidR="00213331" w:rsidRPr="00EB6A30" w14:paraId="6FF3C4EB" w14:textId="77777777" w:rsidTr="005F06D8">
        <w:tc>
          <w:tcPr>
            <w:tcW w:w="5680" w:type="dxa"/>
          </w:tcPr>
          <w:p w14:paraId="77088E26" w14:textId="77777777" w:rsidR="00213331" w:rsidRPr="00EB6A30" w:rsidRDefault="00213331" w:rsidP="005F06D8">
            <w:pPr>
              <w:ind w:left="426"/>
              <w:jc w:val="center"/>
              <w:rPr>
                <w:rFonts w:ascii="Arial" w:hAnsi="Arial" w:cs="Arial"/>
                <w:sz w:val="20"/>
              </w:rPr>
            </w:pPr>
          </w:p>
        </w:tc>
        <w:tc>
          <w:tcPr>
            <w:tcW w:w="2694" w:type="dxa"/>
            <w:gridSpan w:val="2"/>
            <w:tcBorders>
              <w:top w:val="single" w:sz="4" w:space="0" w:color="auto"/>
            </w:tcBorders>
          </w:tcPr>
          <w:p w14:paraId="1E4248E9" w14:textId="77777777" w:rsidR="00213331" w:rsidRPr="00EB6A30" w:rsidRDefault="00213331" w:rsidP="005F06D8">
            <w:pPr>
              <w:spacing w:before="60" w:after="60"/>
              <w:jc w:val="center"/>
              <w:rPr>
                <w:rFonts w:ascii="Arial" w:hAnsi="Arial" w:cs="Arial"/>
                <w:b/>
                <w:sz w:val="20"/>
              </w:rPr>
            </w:pPr>
          </w:p>
        </w:tc>
      </w:tr>
    </w:tbl>
    <w:p w14:paraId="75D66700" w14:textId="77777777" w:rsidR="00213331" w:rsidRPr="00EB6A30" w:rsidRDefault="00213331" w:rsidP="00213331">
      <w:pPr>
        <w:spacing w:before="60" w:after="60"/>
        <w:rPr>
          <w:rFonts w:ascii="Arial" w:hAnsi="Arial" w:cs="Arial"/>
          <w:sz w:val="20"/>
        </w:rPr>
      </w:pPr>
      <w:r w:rsidRPr="00EB6A30">
        <w:rPr>
          <w:rFonts w:ascii="Arial" w:hAnsi="Arial" w:cs="Arial"/>
          <w:sz w:val="20"/>
        </w:rPr>
        <w:t xml:space="preserve"> If the answer above is Yes, it will then be mandatory for the supplier to match Eskom’s targets</w:t>
      </w:r>
    </w:p>
    <w:tbl>
      <w:tblPr>
        <w:tblStyle w:val="TableGrid"/>
        <w:tblW w:w="0" w:type="auto"/>
        <w:tblLook w:val="04A0" w:firstRow="1" w:lastRow="0" w:firstColumn="1" w:lastColumn="0" w:noHBand="0" w:noVBand="1"/>
      </w:tblPr>
      <w:tblGrid>
        <w:gridCol w:w="2930"/>
        <w:gridCol w:w="2930"/>
        <w:gridCol w:w="2930"/>
      </w:tblGrid>
      <w:tr w:rsidR="00213331" w:rsidRPr="00EB6A30" w14:paraId="7E15FF7E" w14:textId="77777777" w:rsidTr="005F06D8">
        <w:tc>
          <w:tcPr>
            <w:tcW w:w="2930" w:type="dxa"/>
            <w:shd w:val="clear" w:color="auto" w:fill="D9D9D9" w:themeFill="background1" w:themeFillShade="D9"/>
          </w:tcPr>
          <w:p w14:paraId="3D3A601D" w14:textId="77777777" w:rsidR="00213331" w:rsidRPr="00EB6A30" w:rsidRDefault="00213331" w:rsidP="005F06D8">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03860EC8" w14:textId="77777777" w:rsidR="00213331" w:rsidRPr="00EB6A30" w:rsidRDefault="00213331" w:rsidP="005F06D8">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48F1C4C1" w14:textId="77777777" w:rsidR="00213331" w:rsidRPr="00EB6A30" w:rsidRDefault="00213331" w:rsidP="005F06D8">
            <w:pPr>
              <w:rPr>
                <w:rFonts w:ascii="Arial" w:hAnsi="Arial" w:cs="Arial"/>
                <w:b/>
                <w:sz w:val="20"/>
              </w:rPr>
            </w:pPr>
            <w:r w:rsidRPr="00EB6A30">
              <w:rPr>
                <w:rFonts w:ascii="Arial" w:hAnsi="Arial" w:cs="Arial"/>
                <w:b/>
                <w:sz w:val="20"/>
              </w:rPr>
              <w:t>Tenderer Commitment</w:t>
            </w:r>
          </w:p>
        </w:tc>
      </w:tr>
      <w:tr w:rsidR="00213331" w:rsidRPr="00EB6A30" w14:paraId="6AD4CC34" w14:textId="77777777" w:rsidTr="005F06D8">
        <w:tc>
          <w:tcPr>
            <w:tcW w:w="2930" w:type="dxa"/>
          </w:tcPr>
          <w:p w14:paraId="2CF78DBE" w14:textId="77777777" w:rsidR="00213331" w:rsidRPr="00EB6A30" w:rsidRDefault="00213331" w:rsidP="005F06D8">
            <w:pPr>
              <w:tabs>
                <w:tab w:val="left" w:pos="720"/>
              </w:tabs>
              <w:jc w:val="both"/>
              <w:rPr>
                <w:rFonts w:ascii="Arial" w:hAnsi="Arial" w:cs="Arial"/>
                <w:sz w:val="20"/>
              </w:rPr>
            </w:pPr>
            <w:r w:rsidRPr="00EB6A30">
              <w:rPr>
                <w:rFonts w:ascii="Arial" w:hAnsi="Arial" w:cs="Arial"/>
                <w:sz w:val="20"/>
              </w:rPr>
              <w:t>CSDG Percentage</w:t>
            </w:r>
          </w:p>
        </w:tc>
        <w:tc>
          <w:tcPr>
            <w:tcW w:w="2930" w:type="dxa"/>
          </w:tcPr>
          <w:p w14:paraId="30058D5D" w14:textId="3BA0EE67" w:rsidR="00213331" w:rsidRPr="00EB6A30" w:rsidRDefault="00483391" w:rsidP="005F06D8">
            <w:pPr>
              <w:spacing w:before="60" w:after="60"/>
              <w:rPr>
                <w:rFonts w:ascii="Arial" w:hAnsi="Arial" w:cs="Arial"/>
                <w:sz w:val="20"/>
              </w:rPr>
            </w:pPr>
            <w:r>
              <w:rPr>
                <w:rFonts w:ascii="Arial" w:hAnsi="Arial" w:cs="Arial"/>
                <w:sz w:val="20"/>
              </w:rPr>
              <w:t>0.</w:t>
            </w:r>
            <w:r w:rsidR="00213331">
              <w:rPr>
                <w:rFonts w:ascii="Arial" w:hAnsi="Arial" w:cs="Arial"/>
                <w:sz w:val="20"/>
              </w:rPr>
              <w:t>5%</w:t>
            </w:r>
          </w:p>
        </w:tc>
        <w:tc>
          <w:tcPr>
            <w:tcW w:w="2930" w:type="dxa"/>
          </w:tcPr>
          <w:p w14:paraId="600CEC5E" w14:textId="77777777" w:rsidR="00213331" w:rsidRPr="00EB6A30" w:rsidRDefault="00213331" w:rsidP="005F06D8">
            <w:pPr>
              <w:spacing w:before="60" w:after="60"/>
              <w:rPr>
                <w:rFonts w:ascii="Arial" w:hAnsi="Arial" w:cs="Arial"/>
                <w:sz w:val="20"/>
              </w:rPr>
            </w:pPr>
          </w:p>
        </w:tc>
      </w:tr>
      <w:tr w:rsidR="00213331" w:rsidRPr="00EB6A30" w14:paraId="41714F62" w14:textId="77777777" w:rsidTr="005F06D8">
        <w:tc>
          <w:tcPr>
            <w:tcW w:w="2930" w:type="dxa"/>
          </w:tcPr>
          <w:p w14:paraId="00AAE2FA" w14:textId="77777777" w:rsidR="00213331" w:rsidRPr="00EB6A30" w:rsidRDefault="00213331" w:rsidP="005F06D8">
            <w:pPr>
              <w:tabs>
                <w:tab w:val="left" w:pos="720"/>
              </w:tabs>
              <w:jc w:val="both"/>
              <w:rPr>
                <w:rFonts w:ascii="Arial" w:hAnsi="Arial" w:cs="Arial"/>
                <w:sz w:val="20"/>
              </w:rPr>
            </w:pPr>
            <w:r w:rsidRPr="00EB6A30">
              <w:rPr>
                <w:rFonts w:ascii="Arial" w:hAnsi="Arial" w:cs="Arial"/>
                <w:sz w:val="20"/>
              </w:rPr>
              <w:t>Description</w:t>
            </w:r>
          </w:p>
        </w:tc>
        <w:tc>
          <w:tcPr>
            <w:tcW w:w="2930" w:type="dxa"/>
          </w:tcPr>
          <w:p w14:paraId="36D23C81" w14:textId="496486A3" w:rsidR="00213331" w:rsidRPr="00EB6A30" w:rsidRDefault="00483391" w:rsidP="005F06D8">
            <w:pPr>
              <w:spacing w:before="60" w:after="60"/>
              <w:rPr>
                <w:rFonts w:ascii="Arial" w:hAnsi="Arial" w:cs="Arial"/>
                <w:sz w:val="20"/>
              </w:rPr>
            </w:pPr>
            <w:r>
              <w:rPr>
                <w:rFonts w:ascii="Arial" w:hAnsi="Arial" w:cs="Arial"/>
                <w:sz w:val="20"/>
              </w:rPr>
              <w:t>General Building</w:t>
            </w:r>
          </w:p>
        </w:tc>
        <w:tc>
          <w:tcPr>
            <w:tcW w:w="2930" w:type="dxa"/>
          </w:tcPr>
          <w:p w14:paraId="3A67F6BC" w14:textId="77777777" w:rsidR="00213331" w:rsidRPr="00EB6A30" w:rsidRDefault="00213331" w:rsidP="005F06D8">
            <w:pPr>
              <w:spacing w:before="60" w:after="60"/>
              <w:rPr>
                <w:rFonts w:ascii="Arial" w:hAnsi="Arial" w:cs="Arial"/>
                <w:sz w:val="20"/>
              </w:rPr>
            </w:pPr>
          </w:p>
        </w:tc>
      </w:tr>
    </w:tbl>
    <w:p w14:paraId="0050CDFA" w14:textId="77777777" w:rsidR="00213331" w:rsidRDefault="00213331" w:rsidP="002319CA">
      <w:pPr>
        <w:spacing w:before="60" w:after="60" w:line="276" w:lineRule="auto"/>
        <w:rPr>
          <w:rFonts w:ascii="Arial" w:hAnsi="Arial" w:cs="Arial"/>
          <w:b/>
          <w:sz w:val="20"/>
        </w:rPr>
      </w:pPr>
    </w:p>
    <w:p w14:paraId="7614A94B" w14:textId="77777777" w:rsidR="003C4951" w:rsidRDefault="003C4951" w:rsidP="002319CA">
      <w:pPr>
        <w:spacing w:before="60" w:after="60" w:line="276" w:lineRule="auto"/>
        <w:rPr>
          <w:rFonts w:ascii="Arial" w:hAnsi="Arial" w:cs="Arial"/>
          <w:b/>
          <w:sz w:val="20"/>
        </w:rPr>
      </w:pPr>
    </w:p>
    <w:p w14:paraId="6203D1AA" w14:textId="2F6E9456" w:rsidR="000D348C" w:rsidRDefault="00044600" w:rsidP="005F32BB">
      <w:pPr>
        <w:spacing w:before="60" w:after="60" w:line="276" w:lineRule="auto"/>
        <w:rPr>
          <w:rFonts w:ascii="Arial" w:hAnsi="Arial" w:cs="Arial"/>
          <w:b/>
          <w:sz w:val="22"/>
        </w:rPr>
      </w:pPr>
      <w:r>
        <w:rPr>
          <w:rFonts w:ascii="Arial" w:hAnsi="Arial" w:cs="Arial"/>
          <w:b/>
          <w:sz w:val="22"/>
        </w:rPr>
        <w:t>2</w:t>
      </w:r>
      <w:r w:rsidR="000D348C">
        <w:rPr>
          <w:rFonts w:ascii="Arial" w:hAnsi="Arial" w:cs="Arial"/>
          <w:b/>
          <w:sz w:val="22"/>
        </w:rPr>
        <w:t>.3 NIPP</w:t>
      </w:r>
      <w:r w:rsidR="00213331">
        <w:rPr>
          <w:rFonts w:ascii="Arial" w:hAnsi="Arial" w:cs="Arial"/>
          <w:b/>
          <w:sz w:val="22"/>
        </w:rPr>
        <w:t xml:space="preserve"> Not Applicable.</w:t>
      </w:r>
    </w:p>
    <w:p w14:paraId="7C861A70" w14:textId="39CA452C" w:rsidR="009926FA" w:rsidRDefault="009926FA" w:rsidP="00F83DF3">
      <w:pPr>
        <w:spacing w:before="60" w:after="60" w:line="276" w:lineRule="auto"/>
        <w:jc w:val="both"/>
        <w:rPr>
          <w:rFonts w:ascii="Arial" w:hAnsi="Arial" w:cs="Arial"/>
          <w:b/>
          <w:sz w:val="22"/>
        </w:rPr>
      </w:pPr>
    </w:p>
    <w:p w14:paraId="1FCC7F87" w14:textId="2F7E733B" w:rsidR="002C1EE5" w:rsidRDefault="00044600" w:rsidP="00F83DF3">
      <w:pPr>
        <w:spacing w:before="60" w:after="60" w:line="276" w:lineRule="auto"/>
        <w:jc w:val="both"/>
        <w:rPr>
          <w:rFonts w:ascii="Arial" w:hAnsi="Arial" w:cs="Arial"/>
          <w:b/>
          <w:sz w:val="22"/>
        </w:rPr>
      </w:pPr>
      <w:r>
        <w:rPr>
          <w:rFonts w:ascii="Arial" w:hAnsi="Arial" w:cs="Arial"/>
          <w:b/>
          <w:sz w:val="22"/>
        </w:rPr>
        <w:t>2</w:t>
      </w:r>
      <w:r w:rsidR="002C1EE5">
        <w:rPr>
          <w:rFonts w:ascii="Arial" w:hAnsi="Arial" w:cs="Arial"/>
          <w:b/>
          <w:sz w:val="22"/>
        </w:rPr>
        <w:t>.</w:t>
      </w:r>
      <w:r w:rsidR="0070736F">
        <w:rPr>
          <w:rFonts w:ascii="Arial" w:hAnsi="Arial" w:cs="Arial"/>
          <w:b/>
          <w:sz w:val="22"/>
        </w:rPr>
        <w:t>4</w:t>
      </w:r>
      <w:r w:rsidR="002C1EE5">
        <w:rPr>
          <w:rFonts w:ascii="Arial" w:hAnsi="Arial" w:cs="Arial"/>
          <w:b/>
          <w:sz w:val="22"/>
        </w:rPr>
        <w:t xml:space="preserve"> </w:t>
      </w:r>
      <w:r w:rsidR="004008B9">
        <w:rPr>
          <w:rFonts w:ascii="Arial" w:hAnsi="Arial" w:cs="Arial"/>
          <w:b/>
          <w:sz w:val="22"/>
        </w:rPr>
        <w:t xml:space="preserve">Enterprise Development </w:t>
      </w:r>
      <w:r w:rsidR="002C1EE5">
        <w:rPr>
          <w:rFonts w:ascii="Arial" w:hAnsi="Arial" w:cs="Arial"/>
          <w:b/>
          <w:sz w:val="22"/>
        </w:rPr>
        <w:t>Program</w:t>
      </w:r>
      <w:r w:rsidR="004008B9">
        <w:rPr>
          <w:rFonts w:ascii="Arial" w:hAnsi="Arial" w:cs="Arial"/>
          <w:b/>
          <w:sz w:val="22"/>
        </w:rPr>
        <w:t xml:space="preserve"> (Incubation)</w:t>
      </w:r>
      <w:r w:rsidR="007405EA">
        <w:rPr>
          <w:rFonts w:ascii="Arial" w:hAnsi="Arial" w:cs="Arial"/>
          <w:b/>
          <w:sz w:val="22"/>
        </w:rPr>
        <w:t xml:space="preserve"> N/A</w:t>
      </w:r>
    </w:p>
    <w:p w14:paraId="390C307E" w14:textId="7C4A241E" w:rsidR="00423734" w:rsidRDefault="00044600" w:rsidP="005F32BB">
      <w:pPr>
        <w:spacing w:before="60" w:after="60" w:line="276" w:lineRule="auto"/>
        <w:jc w:val="both"/>
        <w:rPr>
          <w:rFonts w:ascii="Helvetica" w:eastAsiaTheme="minorHAnsi" w:hAnsi="Helvetica" w:cs="Helvetica"/>
          <w:sz w:val="21"/>
          <w:szCs w:val="21"/>
          <w:lang w:val="en-ZA"/>
        </w:rPr>
      </w:pPr>
      <w:r>
        <w:rPr>
          <w:rFonts w:ascii="Arial" w:hAnsi="Arial" w:cs="Arial"/>
          <w:b/>
          <w:sz w:val="22"/>
        </w:rPr>
        <w:t>2</w:t>
      </w:r>
      <w:r w:rsidR="000D348C">
        <w:rPr>
          <w:rFonts w:ascii="Arial" w:hAnsi="Arial" w:cs="Arial"/>
          <w:b/>
          <w:sz w:val="22"/>
        </w:rPr>
        <w:t>.</w:t>
      </w:r>
      <w:r w:rsidR="0070736F">
        <w:rPr>
          <w:rFonts w:ascii="Arial" w:hAnsi="Arial" w:cs="Arial"/>
          <w:b/>
          <w:sz w:val="22"/>
        </w:rPr>
        <w:t>5</w:t>
      </w:r>
      <w:r w:rsidR="000D348C">
        <w:rPr>
          <w:rFonts w:ascii="Arial" w:hAnsi="Arial" w:cs="Arial"/>
          <w:b/>
          <w:sz w:val="22"/>
        </w:rPr>
        <w:t xml:space="preserve"> Subcontracting</w:t>
      </w:r>
      <w:r w:rsidR="00973722">
        <w:rPr>
          <w:rFonts w:ascii="Arial" w:hAnsi="Arial" w:cs="Arial"/>
          <w:b/>
          <w:sz w:val="22"/>
        </w:rPr>
        <w:t xml:space="preserve"> </w:t>
      </w:r>
    </w:p>
    <w:p w14:paraId="0EC9B075" w14:textId="77777777" w:rsidR="009926FA" w:rsidRPr="007369F7" w:rsidRDefault="009926FA" w:rsidP="00F83DF3">
      <w:pPr>
        <w:autoSpaceDE w:val="0"/>
        <w:autoSpaceDN w:val="0"/>
        <w:adjustRightInd w:val="0"/>
        <w:jc w:val="both"/>
        <w:rPr>
          <w:rFonts w:ascii="Helvetica-Bold" w:eastAsiaTheme="minorHAnsi" w:hAnsi="Helvetica-Bold" w:cs="Helvetica-Bold"/>
          <w:sz w:val="21"/>
          <w:szCs w:val="21"/>
          <w:lang w:val="en-ZA"/>
        </w:rPr>
      </w:pPr>
      <w:r w:rsidRPr="007369F7">
        <w:rPr>
          <w:rFonts w:ascii="Helvetica-Bold" w:eastAsiaTheme="minorHAnsi" w:hAnsi="Helvetica-Bold" w:cs="Helvetica-Bold"/>
          <w:sz w:val="21"/>
          <w:szCs w:val="21"/>
          <w:lang w:val="en-ZA"/>
        </w:rPr>
        <w:lastRenderedPageBreak/>
        <w:t>Mandatory subcontracting on contracts above R30 million as a condition for contract award</w:t>
      </w:r>
    </w:p>
    <w:p w14:paraId="6A833797" w14:textId="77777777" w:rsidR="009926FA" w:rsidRPr="007369F7" w:rsidRDefault="009926FA" w:rsidP="00F83DF3">
      <w:pPr>
        <w:autoSpaceDE w:val="0"/>
        <w:autoSpaceDN w:val="0"/>
        <w:adjustRightInd w:val="0"/>
        <w:jc w:val="both"/>
        <w:rPr>
          <w:rFonts w:ascii="Helvetica-Bold" w:eastAsiaTheme="minorHAnsi" w:hAnsi="Helvetica-Bold" w:cs="Helvetica-Bold"/>
          <w:sz w:val="21"/>
          <w:szCs w:val="21"/>
          <w:lang w:val="en-ZA"/>
        </w:rPr>
      </w:pPr>
      <w:r w:rsidRPr="007369F7">
        <w:rPr>
          <w:rFonts w:ascii="Helvetica-Bold" w:eastAsiaTheme="minorHAnsi" w:hAnsi="Helvetica-Bold" w:cs="Helvetica-Bold"/>
          <w:sz w:val="21"/>
          <w:szCs w:val="21"/>
          <w:lang w:val="en-ZA"/>
        </w:rPr>
        <w:t>If feasible to subcontract for a contract above R30 million, Eskom:</w:t>
      </w:r>
    </w:p>
    <w:p w14:paraId="46F899CF" w14:textId="77777777" w:rsid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Pr>
          <w:rFonts w:ascii="Helvetica" w:eastAsiaTheme="minorHAnsi" w:hAnsi="Helvetica" w:cs="Helvetica"/>
          <w:sz w:val="21"/>
          <w:szCs w:val="21"/>
          <w:lang w:val="en-ZA"/>
        </w:rPr>
        <w:t>a) must apply subcontracting to previously designated groups.</w:t>
      </w:r>
    </w:p>
    <w:p w14:paraId="4A318100" w14:textId="77777777" w:rsid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Pr>
          <w:rFonts w:ascii="Helvetica" w:eastAsiaTheme="minorHAnsi" w:hAnsi="Helvetica" w:cs="Helvetica"/>
          <w:sz w:val="21"/>
          <w:szCs w:val="21"/>
          <w:lang w:val="en-ZA"/>
        </w:rPr>
        <w:t>b) must advertise the tender with a specific condition for contract award that the successful</w:t>
      </w:r>
    </w:p>
    <w:p w14:paraId="682EBEEE" w14:textId="77777777" w:rsid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Pr>
          <w:rFonts w:ascii="Helvetica" w:eastAsiaTheme="minorHAnsi" w:hAnsi="Helvetica" w:cs="Helvetica"/>
          <w:sz w:val="21"/>
          <w:szCs w:val="21"/>
          <w:lang w:val="en-ZA"/>
        </w:rPr>
        <w:t>tenderer must subcontract a minimum of 30% of the value of the contract to:</w:t>
      </w:r>
    </w:p>
    <w:p w14:paraId="645F99CF" w14:textId="0E3FF35D" w:rsid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Pr>
          <w:rFonts w:ascii="Helvetica" w:eastAsiaTheme="minorHAnsi" w:hAnsi="Helvetica" w:cs="Helvetica"/>
          <w:sz w:val="21"/>
          <w:szCs w:val="21"/>
          <w:lang w:val="en-ZA"/>
        </w:rPr>
        <w:t xml:space="preserve">c) an EME or </w:t>
      </w:r>
      <w:r w:rsidR="00B33DC6">
        <w:rPr>
          <w:rFonts w:ascii="Helvetica" w:eastAsiaTheme="minorHAnsi" w:hAnsi="Helvetica" w:cs="Helvetica"/>
          <w:sz w:val="21"/>
          <w:szCs w:val="21"/>
          <w:lang w:val="en-ZA"/>
        </w:rPr>
        <w:t>QSE.</w:t>
      </w:r>
    </w:p>
    <w:p w14:paraId="6934FC56" w14:textId="4667F38D" w:rsid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Pr>
          <w:rFonts w:ascii="Helvetica" w:eastAsiaTheme="minorHAnsi" w:hAnsi="Helvetica" w:cs="Helvetica"/>
          <w:sz w:val="21"/>
          <w:szCs w:val="21"/>
          <w:lang w:val="en-ZA"/>
        </w:rPr>
        <w:t xml:space="preserve">d) an EME or QSE, which is at least 51% owned by black </w:t>
      </w:r>
      <w:r w:rsidR="00B33DC6">
        <w:rPr>
          <w:rFonts w:ascii="Helvetica" w:eastAsiaTheme="minorHAnsi" w:hAnsi="Helvetica" w:cs="Helvetica"/>
          <w:sz w:val="21"/>
          <w:szCs w:val="21"/>
          <w:lang w:val="en-ZA"/>
        </w:rPr>
        <w:t>people.</w:t>
      </w:r>
    </w:p>
    <w:p w14:paraId="5EFFF499" w14:textId="1CF74DFA" w:rsidR="009926FA" w:rsidRP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sidRPr="009926FA">
        <w:rPr>
          <w:rFonts w:ascii="Helvetica" w:eastAsiaTheme="minorHAnsi" w:hAnsi="Helvetica" w:cs="Helvetica"/>
          <w:sz w:val="21"/>
          <w:szCs w:val="21"/>
          <w:lang w:val="en-ZA"/>
        </w:rPr>
        <w:t xml:space="preserve">an EME or QSE, which is at least 51% owned by black people who are </w:t>
      </w:r>
      <w:r w:rsidR="00B33DC6" w:rsidRPr="009926FA">
        <w:rPr>
          <w:rFonts w:ascii="Helvetica" w:eastAsiaTheme="minorHAnsi" w:hAnsi="Helvetica" w:cs="Helvetica"/>
          <w:sz w:val="21"/>
          <w:szCs w:val="21"/>
          <w:lang w:val="en-ZA"/>
        </w:rPr>
        <w:t>youth.</w:t>
      </w:r>
    </w:p>
    <w:p w14:paraId="1C576D39" w14:textId="56773CEC" w:rsidR="009926FA" w:rsidRP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sidRPr="009926FA">
        <w:rPr>
          <w:rFonts w:ascii="Helvetica" w:eastAsiaTheme="minorHAnsi" w:hAnsi="Helvetica" w:cs="Helvetica"/>
          <w:sz w:val="21"/>
          <w:szCs w:val="21"/>
          <w:lang w:val="en-ZA"/>
        </w:rPr>
        <w:t xml:space="preserve">f) an EME or QSE, which is at least 51% owned by black people who are </w:t>
      </w:r>
      <w:r w:rsidR="00B33DC6" w:rsidRPr="009926FA">
        <w:rPr>
          <w:rFonts w:ascii="Helvetica" w:eastAsiaTheme="minorHAnsi" w:hAnsi="Helvetica" w:cs="Helvetica"/>
          <w:sz w:val="21"/>
          <w:szCs w:val="21"/>
          <w:lang w:val="en-ZA"/>
        </w:rPr>
        <w:t>women.</w:t>
      </w:r>
    </w:p>
    <w:p w14:paraId="6105DCCD" w14:textId="3769000D" w:rsidR="009926FA" w:rsidRP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sidRPr="009926FA">
        <w:rPr>
          <w:rFonts w:ascii="Helvetica" w:eastAsiaTheme="minorHAnsi" w:hAnsi="Helvetica" w:cs="Helvetica"/>
          <w:sz w:val="21"/>
          <w:szCs w:val="21"/>
          <w:lang w:val="en-ZA"/>
        </w:rPr>
        <w:t xml:space="preserve">g) an EME or QSE, which is at least 51% owned by black people with </w:t>
      </w:r>
      <w:r w:rsidR="00B33DC6" w:rsidRPr="009926FA">
        <w:rPr>
          <w:rFonts w:ascii="Helvetica" w:eastAsiaTheme="minorHAnsi" w:hAnsi="Helvetica" w:cs="Helvetica"/>
          <w:sz w:val="21"/>
          <w:szCs w:val="21"/>
          <w:lang w:val="en-ZA"/>
        </w:rPr>
        <w:t>disabilities.</w:t>
      </w:r>
    </w:p>
    <w:p w14:paraId="38F48E0C" w14:textId="77777777" w:rsidR="009926FA" w:rsidRP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sidRPr="009926FA">
        <w:rPr>
          <w:rFonts w:ascii="Helvetica" w:eastAsiaTheme="minorHAnsi" w:hAnsi="Helvetica" w:cs="Helvetica"/>
          <w:sz w:val="21"/>
          <w:szCs w:val="21"/>
          <w:lang w:val="en-ZA"/>
        </w:rPr>
        <w:t>h) an EME or QSE, which is 51% owned by black people living in rural or underdeveloped</w:t>
      </w:r>
    </w:p>
    <w:p w14:paraId="18FA3994" w14:textId="5233D627" w:rsidR="009926FA" w:rsidRP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sidRPr="009926FA">
        <w:rPr>
          <w:rFonts w:ascii="Helvetica" w:eastAsiaTheme="minorHAnsi" w:hAnsi="Helvetica" w:cs="Helvetica"/>
          <w:sz w:val="21"/>
          <w:szCs w:val="21"/>
          <w:lang w:val="en-ZA"/>
        </w:rPr>
        <w:t xml:space="preserve">areas or </w:t>
      </w:r>
      <w:r w:rsidR="00B33DC6" w:rsidRPr="009926FA">
        <w:rPr>
          <w:rFonts w:ascii="Helvetica" w:eastAsiaTheme="minorHAnsi" w:hAnsi="Helvetica" w:cs="Helvetica"/>
          <w:sz w:val="21"/>
          <w:szCs w:val="21"/>
          <w:lang w:val="en-ZA"/>
        </w:rPr>
        <w:t>townships.</w:t>
      </w:r>
    </w:p>
    <w:p w14:paraId="527FA6BA" w14:textId="29AB716F" w:rsidR="009926FA" w:rsidRP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proofErr w:type="spellStart"/>
      <w:r w:rsidRPr="009926FA">
        <w:rPr>
          <w:rFonts w:ascii="Helvetica" w:eastAsiaTheme="minorHAnsi" w:hAnsi="Helvetica" w:cs="Helvetica"/>
          <w:sz w:val="21"/>
          <w:szCs w:val="21"/>
          <w:lang w:val="en-ZA"/>
        </w:rPr>
        <w:t>i</w:t>
      </w:r>
      <w:proofErr w:type="spellEnd"/>
      <w:r w:rsidRPr="009926FA">
        <w:rPr>
          <w:rFonts w:ascii="Helvetica" w:eastAsiaTheme="minorHAnsi" w:hAnsi="Helvetica" w:cs="Helvetica"/>
          <w:sz w:val="21"/>
          <w:szCs w:val="21"/>
          <w:lang w:val="en-ZA"/>
        </w:rPr>
        <w:t xml:space="preserve">) a cooperative, which is at least 51% owned by black </w:t>
      </w:r>
      <w:r w:rsidR="00B33DC6" w:rsidRPr="009926FA">
        <w:rPr>
          <w:rFonts w:ascii="Helvetica" w:eastAsiaTheme="minorHAnsi" w:hAnsi="Helvetica" w:cs="Helvetica"/>
          <w:sz w:val="21"/>
          <w:szCs w:val="21"/>
          <w:lang w:val="en-ZA"/>
        </w:rPr>
        <w:t>people.</w:t>
      </w:r>
    </w:p>
    <w:p w14:paraId="062BFDBF" w14:textId="312B6BF1" w:rsidR="009926FA" w:rsidRP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sidRPr="009926FA">
        <w:rPr>
          <w:rFonts w:ascii="Helvetica" w:eastAsiaTheme="minorHAnsi" w:hAnsi="Helvetica" w:cs="Helvetica"/>
          <w:sz w:val="21"/>
          <w:szCs w:val="21"/>
          <w:lang w:val="en-ZA"/>
        </w:rPr>
        <w:t xml:space="preserve">j) an EME or QSE, which is at least 51% owned by black people who are military </w:t>
      </w:r>
      <w:r w:rsidR="00B33DC6" w:rsidRPr="009926FA">
        <w:rPr>
          <w:rFonts w:ascii="Helvetica" w:eastAsiaTheme="minorHAnsi" w:hAnsi="Helvetica" w:cs="Helvetica"/>
          <w:sz w:val="21"/>
          <w:szCs w:val="21"/>
          <w:lang w:val="en-ZA"/>
        </w:rPr>
        <w:t>veterans.</w:t>
      </w:r>
    </w:p>
    <w:p w14:paraId="60B2497F" w14:textId="77777777" w:rsidR="009926FA" w:rsidRP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sidRPr="009926FA">
        <w:rPr>
          <w:rFonts w:ascii="Helvetica" w:eastAsiaTheme="minorHAnsi" w:hAnsi="Helvetica" w:cs="Helvetica"/>
          <w:sz w:val="21"/>
          <w:szCs w:val="21"/>
          <w:lang w:val="en-ZA"/>
        </w:rPr>
        <w:t>or</w:t>
      </w:r>
    </w:p>
    <w:p w14:paraId="0B65A3ED" w14:textId="32BA876C" w:rsid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sidRPr="009926FA">
        <w:rPr>
          <w:rFonts w:ascii="Helvetica" w:eastAsiaTheme="minorHAnsi" w:hAnsi="Helvetica" w:cs="Helvetica"/>
          <w:sz w:val="21"/>
          <w:szCs w:val="21"/>
          <w:lang w:val="en-ZA"/>
        </w:rPr>
        <w:t>k) more than one of the categories referred to in paragraphs (a) to (h).</w:t>
      </w:r>
    </w:p>
    <w:p w14:paraId="070883A9" w14:textId="6CAF9B78" w:rsid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p>
    <w:p w14:paraId="678B220D" w14:textId="69D8D45D" w:rsidR="009926FA" w:rsidRPr="007369F7"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r w:rsidRPr="007369F7">
        <w:rPr>
          <w:rFonts w:ascii="Helvetica" w:eastAsiaTheme="minorHAnsi" w:hAnsi="Helvetica" w:cs="Helvetica"/>
          <w:sz w:val="21"/>
          <w:szCs w:val="21"/>
          <w:lang w:val="en-ZA"/>
        </w:rPr>
        <w:t xml:space="preserve">Tender Returnable if the above element is a </w:t>
      </w:r>
      <w:r w:rsidR="00B33DC6" w:rsidRPr="007369F7">
        <w:rPr>
          <w:rFonts w:ascii="Helvetica" w:eastAsiaTheme="minorHAnsi" w:hAnsi="Helvetica" w:cs="Helvetica"/>
          <w:sz w:val="21"/>
          <w:szCs w:val="21"/>
          <w:lang w:val="en-ZA"/>
        </w:rPr>
        <w:t>requirement.</w:t>
      </w:r>
    </w:p>
    <w:p w14:paraId="5FA64608" w14:textId="77777777" w:rsidR="009926FA" w:rsidRPr="007369F7" w:rsidRDefault="009926FA" w:rsidP="00F83DF3">
      <w:pPr>
        <w:pStyle w:val="ListParagraph"/>
        <w:numPr>
          <w:ilvl w:val="0"/>
          <w:numId w:val="39"/>
        </w:numPr>
        <w:autoSpaceDE w:val="0"/>
        <w:autoSpaceDN w:val="0"/>
        <w:adjustRightInd w:val="0"/>
        <w:spacing w:line="276" w:lineRule="auto"/>
        <w:jc w:val="both"/>
        <w:rPr>
          <w:rFonts w:ascii="Helvetica" w:eastAsiaTheme="minorHAnsi" w:hAnsi="Helvetica" w:cs="Helvetica"/>
          <w:sz w:val="21"/>
          <w:szCs w:val="21"/>
          <w:lang w:val="en-ZA"/>
        </w:rPr>
      </w:pPr>
      <w:r w:rsidRPr="007369F7">
        <w:rPr>
          <w:rFonts w:ascii="Helvetica" w:eastAsiaTheme="minorHAnsi" w:hAnsi="Helvetica" w:cs="Helvetica"/>
          <w:sz w:val="21"/>
          <w:szCs w:val="21"/>
          <w:lang w:val="en-ZA"/>
        </w:rPr>
        <w:t>Proof of a sub-contract agreement/s must be submitted.</w:t>
      </w:r>
    </w:p>
    <w:p w14:paraId="08D97DAC" w14:textId="77777777" w:rsidR="009926FA" w:rsidRPr="007369F7" w:rsidRDefault="009926FA" w:rsidP="00F83DF3">
      <w:pPr>
        <w:pStyle w:val="ListParagraph"/>
        <w:numPr>
          <w:ilvl w:val="0"/>
          <w:numId w:val="39"/>
        </w:numPr>
        <w:autoSpaceDE w:val="0"/>
        <w:autoSpaceDN w:val="0"/>
        <w:adjustRightInd w:val="0"/>
        <w:spacing w:line="276" w:lineRule="auto"/>
        <w:jc w:val="both"/>
        <w:rPr>
          <w:rFonts w:ascii="Helvetica" w:eastAsiaTheme="minorHAnsi" w:hAnsi="Helvetica" w:cs="Helvetica"/>
          <w:sz w:val="21"/>
          <w:szCs w:val="21"/>
          <w:lang w:val="en-ZA"/>
        </w:rPr>
      </w:pPr>
      <w:r w:rsidRPr="007369F7">
        <w:rPr>
          <w:rFonts w:ascii="Helvetica" w:eastAsiaTheme="minorHAnsi" w:hAnsi="Helvetica" w:cs="Helvetica"/>
          <w:sz w:val="21"/>
          <w:szCs w:val="21"/>
          <w:lang w:val="en-ZA"/>
        </w:rPr>
        <w:t>CSD report of subcontractors</w:t>
      </w:r>
    </w:p>
    <w:p w14:paraId="27EC49D3" w14:textId="4E8B8A57" w:rsidR="009926FA" w:rsidRPr="00690753" w:rsidRDefault="009926FA" w:rsidP="005F32BB">
      <w:pPr>
        <w:pStyle w:val="ListParagraph"/>
        <w:numPr>
          <w:ilvl w:val="0"/>
          <w:numId w:val="39"/>
        </w:numPr>
        <w:autoSpaceDE w:val="0"/>
        <w:autoSpaceDN w:val="0"/>
        <w:adjustRightInd w:val="0"/>
        <w:spacing w:line="276" w:lineRule="auto"/>
        <w:jc w:val="both"/>
        <w:rPr>
          <w:rFonts w:ascii="Helvetica" w:eastAsiaTheme="minorHAnsi" w:hAnsi="Helvetica" w:cs="Helvetica"/>
          <w:sz w:val="21"/>
          <w:szCs w:val="21"/>
          <w:lang w:val="en-ZA"/>
        </w:rPr>
      </w:pPr>
      <w:r w:rsidRPr="00690753">
        <w:rPr>
          <w:rFonts w:ascii="Helvetica" w:eastAsiaTheme="minorHAnsi" w:hAnsi="Helvetica" w:cs="Helvetica"/>
          <w:sz w:val="21"/>
          <w:szCs w:val="21"/>
          <w:lang w:val="en-ZA"/>
        </w:rPr>
        <w:t xml:space="preserve">Sub-contractor/s B-BBEE certificate / </w:t>
      </w:r>
      <w:r w:rsidR="00B33DC6" w:rsidRPr="00690753">
        <w:rPr>
          <w:rFonts w:ascii="Helvetica" w:eastAsiaTheme="minorHAnsi" w:hAnsi="Helvetica" w:cs="Helvetica"/>
          <w:sz w:val="21"/>
          <w:szCs w:val="21"/>
          <w:lang w:val="en-ZA"/>
        </w:rPr>
        <w:t>affidavit</w:t>
      </w:r>
      <w:r w:rsidRPr="00690753">
        <w:rPr>
          <w:rFonts w:ascii="Helvetica" w:eastAsiaTheme="minorHAnsi" w:hAnsi="Helvetica" w:cs="Helvetica"/>
          <w:sz w:val="21"/>
          <w:szCs w:val="21"/>
          <w:lang w:val="en-ZA"/>
        </w:rPr>
        <w:t xml:space="preserve"> must be submitted.</w:t>
      </w:r>
    </w:p>
    <w:p w14:paraId="523A4235" w14:textId="77777777" w:rsidR="009926FA" w:rsidRDefault="009926FA" w:rsidP="00F83DF3">
      <w:pPr>
        <w:autoSpaceDE w:val="0"/>
        <w:autoSpaceDN w:val="0"/>
        <w:adjustRightInd w:val="0"/>
        <w:spacing w:line="276" w:lineRule="auto"/>
        <w:jc w:val="both"/>
        <w:rPr>
          <w:rFonts w:ascii="Helvetica" w:eastAsiaTheme="minorHAnsi" w:hAnsi="Helvetica" w:cs="Helvetica"/>
          <w:sz w:val="21"/>
          <w:szCs w:val="21"/>
          <w:lang w:val="en-ZA"/>
        </w:rPr>
      </w:pPr>
    </w:p>
    <w:p w14:paraId="4507EC08" w14:textId="68A7FBFD" w:rsidR="00CE13F9" w:rsidRDefault="00423734" w:rsidP="002319CA">
      <w:pPr>
        <w:spacing w:before="60" w:after="60" w:line="276" w:lineRule="auto"/>
        <w:rPr>
          <w:rFonts w:ascii="Helvetica" w:eastAsiaTheme="minorHAnsi" w:hAnsi="Helvetica" w:cs="Helvetica"/>
          <w:sz w:val="21"/>
          <w:szCs w:val="21"/>
          <w:lang w:val="en-ZA"/>
        </w:rPr>
      </w:pPr>
      <w:r>
        <w:rPr>
          <w:rFonts w:ascii="Helvetica" w:eastAsiaTheme="minorHAnsi" w:hAnsi="Helvetica" w:cs="Helvetica"/>
          <w:sz w:val="21"/>
          <w:szCs w:val="21"/>
          <w:lang w:val="en-ZA"/>
        </w:rPr>
        <w:t>Subcontracting, in this instance, will be treated as a condition for contract award. A supplier awarded a contract may not subcontract more than 25% of the value of the contract to any other entity that does not have an equal or higher B-BBEE status level of a contributor than the supplier concerned unless the contract is subcontracted to an EME that has the capability and ability to execute the subcontract.</w:t>
      </w:r>
    </w:p>
    <w:p w14:paraId="1E4C98CE" w14:textId="2C6C52DE" w:rsidR="00CC1FF4" w:rsidRDefault="00CC1FF4" w:rsidP="002319CA">
      <w:pPr>
        <w:spacing w:before="60" w:after="60" w:line="276" w:lineRule="auto"/>
        <w:rPr>
          <w:rFonts w:ascii="Arial" w:hAnsi="Arial" w:cs="Arial"/>
          <w:b/>
          <w:sz w:val="20"/>
        </w:rPr>
      </w:pPr>
    </w:p>
    <w:p w14:paraId="5BF6BBB5" w14:textId="0F7B04BC" w:rsidR="00C95EC4" w:rsidRPr="00EB6A30" w:rsidRDefault="006E1BFE" w:rsidP="006E1BFE">
      <w:pPr>
        <w:spacing w:after="200" w:line="276" w:lineRule="auto"/>
        <w:rPr>
          <w:rFonts w:ascii="Arial" w:hAnsi="Arial" w:cs="Arial"/>
          <w:b/>
          <w:sz w:val="22"/>
        </w:rPr>
      </w:pPr>
      <w:r>
        <w:rPr>
          <w:rFonts w:ascii="Arial" w:hAnsi="Arial" w:cs="Arial"/>
          <w:b/>
        </w:rPr>
        <w:t>S</w:t>
      </w:r>
      <w:r w:rsidR="00C95EC4" w:rsidRPr="00EB6A30">
        <w:rPr>
          <w:rFonts w:ascii="Arial" w:hAnsi="Arial" w:cs="Arial"/>
          <w:b/>
          <w:sz w:val="22"/>
        </w:rPr>
        <w:t xml:space="preserve">ection </w:t>
      </w:r>
      <w:r w:rsidR="00044600">
        <w:rPr>
          <w:rFonts w:ascii="Arial" w:hAnsi="Arial" w:cs="Arial"/>
          <w:b/>
          <w:sz w:val="22"/>
        </w:rPr>
        <w:t>3</w:t>
      </w:r>
      <w:r w:rsidR="00304117" w:rsidRPr="00EB6A30">
        <w:rPr>
          <w:rFonts w:ascii="Arial" w:hAnsi="Arial" w:cs="Arial"/>
          <w:b/>
          <w:sz w:val="22"/>
        </w:rPr>
        <w:t xml:space="preserve">: </w:t>
      </w:r>
      <w:r w:rsidR="000D348C">
        <w:rPr>
          <w:rFonts w:ascii="Helvetica-Bold" w:eastAsiaTheme="minorHAnsi" w:hAnsi="Helvetica-Bold" w:cs="Helvetica-Bold"/>
          <w:b/>
          <w:bCs/>
          <w:sz w:val="21"/>
          <w:szCs w:val="21"/>
          <w:lang w:val="en-ZA"/>
        </w:rPr>
        <w:t>Other SDL&amp;I Objectives in line with RDP Goals</w:t>
      </w:r>
    </w:p>
    <w:tbl>
      <w:tblPr>
        <w:tblStyle w:val="TableGrid"/>
        <w:tblW w:w="0" w:type="auto"/>
        <w:tblLook w:val="04A0" w:firstRow="1" w:lastRow="0" w:firstColumn="1" w:lastColumn="0" w:noHBand="0" w:noVBand="1"/>
      </w:tblPr>
      <w:tblGrid>
        <w:gridCol w:w="9016"/>
      </w:tblGrid>
      <w:tr w:rsidR="00C95EC4" w:rsidRPr="000C5130" w14:paraId="4A7234DD" w14:textId="77777777" w:rsidTr="00737B23">
        <w:tc>
          <w:tcPr>
            <w:tcW w:w="9016" w:type="dxa"/>
            <w:shd w:val="clear" w:color="auto" w:fill="000000" w:themeFill="text1"/>
          </w:tcPr>
          <w:p w14:paraId="238BEF90"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will not be disqualified. </w:t>
            </w:r>
            <w:r w:rsidR="009214A0">
              <w:rPr>
                <w:rFonts w:ascii="Arial" w:hAnsi="Arial" w:cs="Arial"/>
                <w:sz w:val="20"/>
              </w:rPr>
              <w:t>SDL&amp;I</w:t>
            </w:r>
            <w:r w:rsidRPr="000C5130">
              <w:rPr>
                <w:rFonts w:ascii="Arial" w:hAnsi="Arial" w:cs="Arial"/>
                <w:sz w:val="20"/>
              </w:rPr>
              <w:t xml:space="preserve"> undertakings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C95EC4" w:rsidRPr="000C5130" w14:paraId="435BDFB5" w14:textId="77777777" w:rsidTr="00077297">
        <w:trPr>
          <w:trHeight w:val="298"/>
        </w:trPr>
        <w:tc>
          <w:tcPr>
            <w:tcW w:w="9016" w:type="dxa"/>
            <w:shd w:val="clear" w:color="auto" w:fill="FFFFFF" w:themeFill="background1"/>
          </w:tcPr>
          <w:p w14:paraId="296F6B86" w14:textId="47424282" w:rsidR="00BC6E9B" w:rsidRPr="00BC6E9B" w:rsidRDefault="00BC6E9B" w:rsidP="00BC6E9B">
            <w:pPr>
              <w:numPr>
                <w:ilvl w:val="0"/>
                <w:numId w:val="30"/>
              </w:numPr>
              <w:tabs>
                <w:tab w:val="left" w:pos="720"/>
              </w:tabs>
              <w:spacing w:line="360" w:lineRule="auto"/>
              <w:jc w:val="both"/>
              <w:rPr>
                <w:rFonts w:ascii="Arial" w:hAnsi="Arial" w:cs="Arial"/>
                <w:sz w:val="20"/>
              </w:rPr>
            </w:pPr>
            <w:r w:rsidRPr="00B11F74">
              <w:rPr>
                <w:rFonts w:ascii="Arial" w:hAnsi="Arial" w:cs="Arial"/>
                <w:b/>
                <w:sz w:val="22"/>
                <w:szCs w:val="22"/>
              </w:rPr>
              <w:t>Transformation – BBBEE Improvement or Retention Plan</w:t>
            </w:r>
            <w:r w:rsidR="00890D75" w:rsidRPr="00BC6E9B">
              <w:rPr>
                <w:rFonts w:ascii="Arial" w:hAnsi="Arial" w:cs="Arial"/>
                <w:sz w:val="20"/>
              </w:rPr>
              <w:t>.</w:t>
            </w:r>
            <w:r>
              <w:rPr>
                <w:rFonts w:ascii="Arial" w:hAnsi="Arial" w:cs="Arial"/>
                <w:sz w:val="20"/>
              </w:rPr>
              <w:t xml:space="preserve">                                                     </w:t>
            </w:r>
            <w:r w:rsidRPr="00BC6E9B">
              <w:rPr>
                <w:rFonts w:ascii="Arial" w:hAnsi="Arial" w:cs="Arial"/>
                <w:b/>
                <w:sz w:val="22"/>
                <w:szCs w:val="22"/>
              </w:rPr>
              <w:t>The supplier must have a valid B-BBEE Certificate/Affidavit before task order will be allocated</w:t>
            </w:r>
            <w:r>
              <w:rPr>
                <w:rFonts w:ascii="Arial" w:hAnsi="Arial" w:cs="Arial"/>
                <w:b/>
                <w:sz w:val="22"/>
                <w:szCs w:val="22"/>
              </w:rPr>
              <w:t xml:space="preserve"> and for the duration of the contract.</w:t>
            </w:r>
          </w:p>
          <w:p w14:paraId="1BC7F2E4" w14:textId="77777777" w:rsidR="00BC6E9B" w:rsidRPr="00DD747B" w:rsidRDefault="00BC6E9B" w:rsidP="00BC6E9B">
            <w:pPr>
              <w:pStyle w:val="ListParagraph"/>
              <w:spacing w:after="200" w:line="360" w:lineRule="auto"/>
              <w:ind w:left="0"/>
              <w:jc w:val="both"/>
              <w:rPr>
                <w:rFonts w:ascii="Arial" w:eastAsiaTheme="minorHAnsi" w:hAnsi="Arial" w:cs="Arial"/>
                <w:sz w:val="20"/>
              </w:rPr>
            </w:pPr>
            <w:r w:rsidRPr="00DD747B">
              <w:rPr>
                <w:rFonts w:ascii="Arial" w:hAnsi="Arial" w:cs="Arial"/>
                <w:sz w:val="20"/>
              </w:rPr>
              <w:t>Transformation remains an area of focus, where Eskom continuously strives to align itself with national transformation imperatives to unlock growth, drive industrialization, create employment and contribute to skills development.</w:t>
            </w:r>
          </w:p>
          <w:p w14:paraId="60BDD9C3" w14:textId="77777777" w:rsidR="00BC6E9B" w:rsidRPr="00DD747B" w:rsidRDefault="00BC6E9B" w:rsidP="00BC6E9B">
            <w:pPr>
              <w:pStyle w:val="ListParagraph"/>
              <w:spacing w:after="200" w:line="360" w:lineRule="auto"/>
              <w:ind w:left="0"/>
              <w:jc w:val="both"/>
              <w:rPr>
                <w:rFonts w:ascii="Arial" w:hAnsi="Arial" w:cs="Arial"/>
                <w:sz w:val="16"/>
                <w:szCs w:val="16"/>
              </w:rPr>
            </w:pPr>
          </w:p>
          <w:p w14:paraId="6E57EBDF" w14:textId="77777777" w:rsidR="00BC6E9B" w:rsidRPr="00DD747B" w:rsidRDefault="00BC6E9B" w:rsidP="00BC6E9B">
            <w:pPr>
              <w:pStyle w:val="ListParagraph"/>
              <w:spacing w:after="200" w:line="360" w:lineRule="auto"/>
              <w:ind w:left="0"/>
              <w:jc w:val="both"/>
              <w:rPr>
                <w:rFonts w:ascii="Arial" w:hAnsi="Arial" w:cs="Arial"/>
                <w:sz w:val="20"/>
              </w:rPr>
            </w:pPr>
            <w:r w:rsidRPr="00DD747B">
              <w:rPr>
                <w:rFonts w:ascii="Arial" w:hAnsi="Arial" w:cs="Arial"/>
                <w:sz w:val="20"/>
              </w:rPr>
              <w:t xml:space="preserve">Eskom encourages its suppliers to constantly strive to improve their B-BBEE rating. Whereas Tenderer/s will be allocated points in terms of a preference point system based on specific goals, Eskom also requests that tenderer/s submits their B-BBEE improvement or retention plan within 30 days of signing the contract. </w:t>
            </w:r>
          </w:p>
          <w:p w14:paraId="3E00C8A4" w14:textId="77777777" w:rsidR="00BC6E9B" w:rsidRPr="00DD747B" w:rsidRDefault="00BC6E9B" w:rsidP="00BC6E9B">
            <w:pPr>
              <w:pStyle w:val="ListParagraph"/>
              <w:spacing w:after="200" w:line="360" w:lineRule="auto"/>
              <w:ind w:left="0"/>
              <w:jc w:val="both"/>
              <w:rPr>
                <w:rFonts w:ascii="Arial" w:hAnsi="Arial" w:cs="Arial"/>
                <w:sz w:val="16"/>
                <w:szCs w:val="16"/>
              </w:rPr>
            </w:pPr>
          </w:p>
          <w:p w14:paraId="3F1E1485" w14:textId="1C3761D4" w:rsidR="00BC6E9B" w:rsidRPr="00DD747B" w:rsidRDefault="00BC6E9B" w:rsidP="00BC6E9B">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therefore requested to indicate the extent to which they will maintain (only if the respondent is a Level 1) or may improve/maintain their B-BBEE status over the contract period if their B-BBEE status is level 2 or 3. Tenderer/s with a B-BBEE status level 4 at the time of contract award, shall migrate and achieve as a non-negotiable a milestone of B-BBEE Level 3 by the end of the first year of the contract and thereafter improve their B-BBEE status level or migrate by one level higher. </w:t>
            </w:r>
          </w:p>
          <w:p w14:paraId="0005FD19" w14:textId="77777777" w:rsidR="00BC6E9B" w:rsidRPr="00DD747B" w:rsidRDefault="00BC6E9B" w:rsidP="00BC6E9B">
            <w:pPr>
              <w:pStyle w:val="ListParagraph"/>
              <w:spacing w:after="200" w:line="360" w:lineRule="auto"/>
              <w:ind w:left="0"/>
              <w:jc w:val="both"/>
              <w:rPr>
                <w:rFonts w:ascii="Arial" w:hAnsi="Arial" w:cs="Arial"/>
                <w:sz w:val="16"/>
                <w:szCs w:val="16"/>
              </w:rPr>
            </w:pPr>
          </w:p>
          <w:p w14:paraId="00CB6634" w14:textId="77777777" w:rsidR="00BC6E9B" w:rsidRPr="00DD747B" w:rsidRDefault="00BC6E9B" w:rsidP="00BC6E9B">
            <w:pPr>
              <w:pStyle w:val="ListParagraph"/>
              <w:spacing w:after="200" w:line="360" w:lineRule="auto"/>
              <w:ind w:left="0"/>
              <w:jc w:val="both"/>
              <w:rPr>
                <w:rFonts w:ascii="Arial" w:hAnsi="Arial" w:cs="Arial"/>
                <w:sz w:val="20"/>
              </w:rPr>
            </w:pPr>
            <w:r w:rsidRPr="00DD747B">
              <w:rPr>
                <w:rFonts w:ascii="Arial" w:hAnsi="Arial" w:cs="Arial"/>
                <w:sz w:val="20"/>
              </w:rPr>
              <w:t>Tenderer/s with a B-BBEE recognition status of Level 5 to Level 8 or non-compliant at the time of contract award, shall migrate and achieve as a non-negotiable a milestone of Level 4 by the end of the first year of the contract and thereafter improve at least one B-BBEE Level higher of each year from the second year of the contract.</w:t>
            </w:r>
          </w:p>
          <w:p w14:paraId="161C7C43" w14:textId="77777777" w:rsidR="00BC6E9B" w:rsidRPr="00DD747B" w:rsidRDefault="00BC6E9B" w:rsidP="00BC6E9B">
            <w:pPr>
              <w:pStyle w:val="ListParagraph"/>
              <w:spacing w:after="200" w:line="360" w:lineRule="auto"/>
              <w:ind w:left="0"/>
              <w:jc w:val="both"/>
              <w:rPr>
                <w:rFonts w:ascii="Arial" w:hAnsi="Arial" w:cs="Arial"/>
                <w:sz w:val="16"/>
                <w:szCs w:val="16"/>
              </w:rPr>
            </w:pPr>
          </w:p>
          <w:p w14:paraId="5DD7CD47" w14:textId="77777777" w:rsidR="00BC6E9B" w:rsidRPr="00DD747B" w:rsidRDefault="00BC6E9B" w:rsidP="00BC6E9B">
            <w:pPr>
              <w:pStyle w:val="ListParagraph"/>
              <w:spacing w:after="200" w:line="360" w:lineRule="auto"/>
              <w:ind w:left="0"/>
              <w:jc w:val="both"/>
              <w:rPr>
                <w:rFonts w:ascii="Arial" w:hAnsi="Arial" w:cs="Arial"/>
                <w:sz w:val="20"/>
              </w:rPr>
            </w:pPr>
            <w:r w:rsidRPr="00DD747B">
              <w:rPr>
                <w:rFonts w:ascii="Arial" w:hAnsi="Arial" w:cs="Arial"/>
                <w:sz w:val="20"/>
              </w:rPr>
              <w:t xml:space="preserve">Tenderer/s are requested to submit their B-BBEE Improvement Plan as an essential document within 30 days of signing the contract. </w:t>
            </w:r>
          </w:p>
          <w:p w14:paraId="3AEB14DE" w14:textId="77777777" w:rsidR="00BC6E9B" w:rsidRDefault="00BC6E9B" w:rsidP="00BC6E9B">
            <w:pPr>
              <w:spacing w:line="360" w:lineRule="auto"/>
              <w:jc w:val="both"/>
              <w:rPr>
                <w:rFonts w:ascii="Arial" w:hAnsi="Arial" w:cs="Arial"/>
                <w:sz w:val="20"/>
              </w:rPr>
            </w:pPr>
            <w:r w:rsidRPr="00DD747B">
              <w:rPr>
                <w:rFonts w:ascii="Arial" w:hAnsi="Arial" w:cs="Arial"/>
                <w:b/>
                <w:bCs/>
                <w:sz w:val="20"/>
              </w:rPr>
              <w:t xml:space="preserve">NB: </w:t>
            </w:r>
            <w:r w:rsidRPr="00DD747B">
              <w:rPr>
                <w:rFonts w:ascii="Arial" w:hAnsi="Arial" w:cs="Arial"/>
                <w:sz w:val="20"/>
              </w:rPr>
              <w:t>A valid B-BBEE certificate or Sworn Affidavit is a condition for contract award, if your</w:t>
            </w:r>
            <w:r>
              <w:rPr>
                <w:rFonts w:ascii="Arial" w:hAnsi="Arial" w:cs="Arial"/>
                <w:sz w:val="20"/>
              </w:rPr>
              <w:t xml:space="preserve"> </w:t>
            </w:r>
            <w:r w:rsidRPr="00DD747B">
              <w:rPr>
                <w:rFonts w:ascii="Arial" w:hAnsi="Arial" w:cs="Arial"/>
                <w:sz w:val="20"/>
              </w:rPr>
              <w:t>company’s annual Total Revenue is R10 Million or less you qualify as an Exempted Micro</w:t>
            </w:r>
            <w:r>
              <w:rPr>
                <w:rFonts w:ascii="Arial" w:hAnsi="Arial" w:cs="Arial"/>
                <w:sz w:val="20"/>
              </w:rPr>
              <w:t xml:space="preserve"> </w:t>
            </w:r>
            <w:r w:rsidRPr="00DD747B">
              <w:rPr>
                <w:rFonts w:ascii="Arial" w:hAnsi="Arial" w:cs="Arial"/>
                <w:sz w:val="20"/>
              </w:rPr>
              <w:t xml:space="preserve">Enterprise therefore you can submit Sworn Affidavit. If your annual Total Revenue is R50 Million or less, you qualify as Qualifying Small Enterprise and must comply with </w:t>
            </w:r>
            <w:proofErr w:type="gramStart"/>
            <w:r w:rsidRPr="00DD747B">
              <w:rPr>
                <w:rFonts w:ascii="Arial" w:hAnsi="Arial" w:cs="Arial"/>
                <w:sz w:val="20"/>
              </w:rPr>
              <w:t>all of</w:t>
            </w:r>
            <w:proofErr w:type="gramEnd"/>
            <w:r w:rsidRPr="00DD747B">
              <w:rPr>
                <w:rFonts w:ascii="Arial" w:hAnsi="Arial" w:cs="Arial"/>
                <w:sz w:val="20"/>
              </w:rPr>
              <w:t xml:space="preserve"> the elements of QSE score card relevant to your sector unless an entity is at least 51% Black owned you are required to obtain a Sworn affidavit. If your Annual Total Revenue is above R50m you need to submit a Valid B-BBEE certificate</w:t>
            </w:r>
          </w:p>
          <w:p w14:paraId="5DA0A96D" w14:textId="77777777" w:rsidR="00CF781D" w:rsidRPr="00CF781D" w:rsidRDefault="00CF781D" w:rsidP="00CF781D">
            <w:pPr>
              <w:tabs>
                <w:tab w:val="left" w:pos="720"/>
              </w:tabs>
              <w:spacing w:line="276" w:lineRule="auto"/>
              <w:ind w:left="360"/>
              <w:jc w:val="both"/>
              <w:rPr>
                <w:rFonts w:ascii="Arial" w:hAnsi="Arial" w:cs="Arial"/>
                <w:b/>
                <w:sz w:val="20"/>
              </w:rPr>
            </w:pPr>
          </w:p>
          <w:p w14:paraId="7790981B" w14:textId="77777777" w:rsidR="00D86CD2" w:rsidRPr="00D86CD2" w:rsidRDefault="003F59CF" w:rsidP="00D86CD2">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00D86CD2" w:rsidRPr="00D86CD2">
              <w:rPr>
                <w:rFonts w:ascii="Arial" w:hAnsi="Arial" w:cs="Arial"/>
                <w:b/>
                <w:sz w:val="20"/>
                <w:u w:val="single"/>
                <w:lang w:val="en-ZA"/>
              </w:rPr>
              <w:t xml:space="preserve"> Procurement Content </w:t>
            </w:r>
          </w:p>
          <w:p w14:paraId="01283807" w14:textId="7283E3BC" w:rsidR="00D86CD2" w:rsidRDefault="005C2E51" w:rsidP="00D86CD2">
            <w:pPr>
              <w:tabs>
                <w:tab w:val="left" w:pos="720"/>
              </w:tabs>
              <w:spacing w:line="360" w:lineRule="auto"/>
              <w:ind w:left="360"/>
              <w:jc w:val="both"/>
              <w:rPr>
                <w:rFonts w:ascii="Arial" w:hAnsi="Arial" w:cs="Arial"/>
                <w:sz w:val="20"/>
                <w:lang w:val="en-ZA"/>
              </w:rPr>
            </w:pPr>
            <w:r>
              <w:rPr>
                <w:rFonts w:ascii="Arial" w:hAnsi="Arial" w:cs="Arial"/>
                <w:sz w:val="20"/>
                <w:lang w:val="en-ZA"/>
              </w:rPr>
              <w:t>“</w:t>
            </w:r>
            <w:r w:rsidR="00D86CD2"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w:t>
            </w:r>
            <w:r w:rsidR="007369F7">
              <w:rPr>
                <w:rFonts w:ascii="Arial" w:hAnsi="Arial" w:cs="Arial"/>
                <w:sz w:val="20"/>
                <w:lang w:val="en-ZA"/>
              </w:rPr>
              <w:t>Tenderer’</w:t>
            </w:r>
            <w:r w:rsidR="00FF363F">
              <w:rPr>
                <w:rFonts w:ascii="Arial" w:hAnsi="Arial" w:cs="Arial"/>
                <w:sz w:val="20"/>
                <w:lang w:val="en-ZA"/>
              </w:rPr>
              <w:t>s</w:t>
            </w:r>
            <w:r w:rsidR="00D86CD2" w:rsidRPr="00D86CD2">
              <w:rPr>
                <w:rFonts w:ascii="Arial" w:hAnsi="Arial" w:cs="Arial"/>
                <w:sz w:val="20"/>
                <w:lang w:val="en-ZA"/>
              </w:rPr>
              <w:t xml:space="preserve"> response must be separated into its components as per the Price Schedule included with the tender documents. Local procurement content is total spending minus the imported component. </w:t>
            </w:r>
          </w:p>
          <w:p w14:paraId="7EFA0D86" w14:textId="2412DEF4" w:rsidR="00D86CD2" w:rsidRDefault="007369F7" w:rsidP="00D86CD2">
            <w:pPr>
              <w:tabs>
                <w:tab w:val="left" w:pos="720"/>
              </w:tabs>
              <w:spacing w:line="360" w:lineRule="auto"/>
              <w:ind w:left="360"/>
              <w:jc w:val="both"/>
              <w:rPr>
                <w:rFonts w:ascii="Arial" w:hAnsi="Arial" w:cs="Arial"/>
                <w:sz w:val="20"/>
                <w:lang w:val="en-ZA"/>
              </w:rPr>
            </w:pPr>
            <w:r>
              <w:rPr>
                <w:rFonts w:ascii="Arial" w:hAnsi="Arial" w:cs="Arial"/>
                <w:sz w:val="20"/>
                <w:lang w:val="en-ZA"/>
              </w:rPr>
              <w:t>Tenderers are</w:t>
            </w:r>
            <w:r w:rsidR="00D86CD2">
              <w:rPr>
                <w:rFonts w:ascii="Arial" w:hAnsi="Arial" w:cs="Arial"/>
                <w:sz w:val="20"/>
                <w:lang w:val="en-ZA"/>
              </w:rPr>
              <w:t xml:space="preserve"> required to submit </w:t>
            </w:r>
            <w:r w:rsidR="00FF363F">
              <w:rPr>
                <w:rFonts w:ascii="Arial" w:hAnsi="Arial" w:cs="Arial"/>
                <w:sz w:val="20"/>
                <w:lang w:val="en-ZA"/>
              </w:rPr>
              <w:t>its</w:t>
            </w:r>
            <w:r w:rsidR="00D86CD2">
              <w:rPr>
                <w:rFonts w:ascii="Arial" w:hAnsi="Arial" w:cs="Arial"/>
                <w:sz w:val="20"/>
                <w:lang w:val="en-ZA"/>
              </w:rPr>
              <w:t xml:space="preserve"> proposals in the table</w:t>
            </w:r>
            <w:r w:rsidR="002632AA">
              <w:rPr>
                <w:rFonts w:ascii="Arial" w:hAnsi="Arial" w:cs="Arial"/>
                <w:sz w:val="20"/>
                <w:lang w:val="en-ZA"/>
              </w:rPr>
              <w:t xml:space="preserve"> below.</w:t>
            </w:r>
          </w:p>
          <w:p w14:paraId="59E5DB98" w14:textId="77777777" w:rsidR="00D86CD2" w:rsidRDefault="00D86CD2" w:rsidP="00D86CD2">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2546"/>
              <w:gridCol w:w="2797"/>
            </w:tblGrid>
            <w:tr w:rsidR="007D4E0A" w14:paraId="10E98609" w14:textId="77777777" w:rsidTr="00A436DF">
              <w:trPr>
                <w:trHeight w:val="153"/>
              </w:trPr>
              <w:tc>
                <w:tcPr>
                  <w:tcW w:w="279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2263CA5" w14:textId="7BBCF27D" w:rsidR="007D4E0A" w:rsidRPr="00A436DF" w:rsidRDefault="00A436DF">
                  <w:pPr>
                    <w:spacing w:line="276" w:lineRule="auto"/>
                    <w:rPr>
                      <w:rFonts w:ascii="Arial" w:hAnsi="Arial" w:cs="Arial"/>
                      <w:b/>
                      <w:bCs/>
                      <w:sz w:val="20"/>
                      <w:lang w:val="en-ZA"/>
                    </w:rPr>
                  </w:pPr>
                  <w:r w:rsidRPr="00A436DF">
                    <w:rPr>
                      <w:rFonts w:ascii="Arial" w:hAnsi="Arial" w:cs="Arial"/>
                      <w:b/>
                      <w:bCs/>
                      <w:sz w:val="20"/>
                      <w:lang w:val="en-ZA"/>
                    </w:rPr>
                    <w:t>Local Designated Material</w:t>
                  </w:r>
                </w:p>
              </w:tc>
              <w:tc>
                <w:tcPr>
                  <w:tcW w:w="254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FF16B64" w14:textId="0FDEB6A2" w:rsidR="007D4E0A" w:rsidRPr="00A436DF" w:rsidRDefault="00A436DF" w:rsidP="005C2E51">
                  <w:pPr>
                    <w:spacing w:line="276" w:lineRule="auto"/>
                    <w:jc w:val="center"/>
                    <w:rPr>
                      <w:rFonts w:ascii="Arial" w:hAnsi="Arial" w:cs="Arial"/>
                      <w:b/>
                      <w:bCs/>
                      <w:sz w:val="20"/>
                      <w:lang w:val="en-ZA"/>
                    </w:rPr>
                  </w:pPr>
                  <w:r w:rsidRPr="00A436DF">
                    <w:rPr>
                      <w:rFonts w:ascii="Arial" w:hAnsi="Arial" w:cs="Arial"/>
                      <w:b/>
                      <w:bCs/>
                      <w:sz w:val="20"/>
                      <w:lang w:val="en-ZA"/>
                    </w:rPr>
                    <w:t>Percentage%</w:t>
                  </w:r>
                </w:p>
              </w:tc>
              <w:tc>
                <w:tcPr>
                  <w:tcW w:w="279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BB1D949" w14:textId="77777777" w:rsidR="007D4E0A" w:rsidRPr="00A436DF" w:rsidRDefault="007D4E0A" w:rsidP="005C2E51">
                  <w:pPr>
                    <w:spacing w:line="276" w:lineRule="auto"/>
                    <w:jc w:val="center"/>
                    <w:rPr>
                      <w:rFonts w:ascii="Arial" w:hAnsi="Arial" w:cs="Arial"/>
                      <w:b/>
                      <w:bCs/>
                      <w:sz w:val="20"/>
                    </w:rPr>
                  </w:pPr>
                  <w:r w:rsidRPr="00A436DF">
                    <w:rPr>
                      <w:rFonts w:ascii="Arial" w:hAnsi="Arial" w:cs="Arial"/>
                      <w:b/>
                      <w:bCs/>
                      <w:sz w:val="20"/>
                    </w:rPr>
                    <w:t>Tenderer Proposal</w:t>
                  </w:r>
                </w:p>
              </w:tc>
            </w:tr>
            <w:tr w:rsidR="00A436DF" w14:paraId="0CF79665" w14:textId="77777777" w:rsidTr="00C822C4">
              <w:trPr>
                <w:trHeight w:val="378"/>
              </w:trPr>
              <w:tc>
                <w:tcPr>
                  <w:tcW w:w="2798" w:type="dxa"/>
                  <w:tcBorders>
                    <w:top w:val="single" w:sz="4" w:space="0" w:color="auto"/>
                    <w:left w:val="single" w:sz="4" w:space="0" w:color="auto"/>
                    <w:bottom w:val="single" w:sz="4" w:space="0" w:color="auto"/>
                    <w:right w:val="single" w:sz="4" w:space="0" w:color="auto"/>
                  </w:tcBorders>
                </w:tcPr>
                <w:p w14:paraId="2449E578" w14:textId="662524A6" w:rsidR="00A436DF" w:rsidRPr="00A436DF" w:rsidRDefault="00A436DF" w:rsidP="00A436DF">
                  <w:pPr>
                    <w:rPr>
                      <w:rFonts w:ascii="Arial" w:hAnsi="Arial" w:cs="Arial"/>
                      <w:sz w:val="20"/>
                      <w:lang w:val="en-ZA"/>
                    </w:rPr>
                  </w:pPr>
                  <w:r w:rsidRPr="00A436DF">
                    <w:rPr>
                      <w:rFonts w:ascii="Arial" w:hAnsi="Arial" w:cs="Arial"/>
                      <w:sz w:val="20"/>
                      <w:lang w:val="en-ZA"/>
                    </w:rPr>
                    <w:t>Cement as per attached DTI document (Please put it as an attachment)</w:t>
                  </w:r>
                </w:p>
              </w:tc>
              <w:tc>
                <w:tcPr>
                  <w:tcW w:w="2546" w:type="dxa"/>
                  <w:tcBorders>
                    <w:top w:val="single" w:sz="4" w:space="0" w:color="auto"/>
                    <w:left w:val="single" w:sz="4" w:space="0" w:color="auto"/>
                    <w:bottom w:val="single" w:sz="4" w:space="0" w:color="auto"/>
                    <w:right w:val="single" w:sz="4" w:space="0" w:color="auto"/>
                  </w:tcBorders>
                </w:tcPr>
                <w:p w14:paraId="41F4F50D" w14:textId="5FB83AAE" w:rsidR="00A436DF" w:rsidRPr="00A436DF" w:rsidRDefault="00A436DF" w:rsidP="00A436DF">
                  <w:pPr>
                    <w:spacing w:line="276" w:lineRule="auto"/>
                    <w:jc w:val="center"/>
                    <w:rPr>
                      <w:rFonts w:ascii="Arial" w:hAnsi="Arial" w:cs="Arial"/>
                      <w:sz w:val="20"/>
                      <w:lang w:val="en-ZA"/>
                    </w:rPr>
                  </w:pPr>
                  <w:r w:rsidRPr="00A436DF">
                    <w:rPr>
                      <w:rFonts w:ascii="Arial" w:hAnsi="Arial" w:cs="Arial"/>
                      <w:sz w:val="20"/>
                      <w:lang w:val="en-ZA"/>
                    </w:rPr>
                    <w:t>100%</w:t>
                  </w:r>
                </w:p>
              </w:tc>
              <w:tc>
                <w:tcPr>
                  <w:tcW w:w="2797" w:type="dxa"/>
                  <w:tcBorders>
                    <w:top w:val="single" w:sz="4" w:space="0" w:color="auto"/>
                    <w:left w:val="single" w:sz="4" w:space="0" w:color="auto"/>
                    <w:bottom w:val="single" w:sz="4" w:space="0" w:color="auto"/>
                    <w:right w:val="single" w:sz="4" w:space="0" w:color="auto"/>
                  </w:tcBorders>
                </w:tcPr>
                <w:p w14:paraId="6D69BFFF" w14:textId="77777777" w:rsidR="00A436DF" w:rsidRPr="007D4E0A" w:rsidRDefault="00A436DF" w:rsidP="00A436DF">
                  <w:pPr>
                    <w:spacing w:line="276" w:lineRule="auto"/>
                    <w:jc w:val="both"/>
                    <w:rPr>
                      <w:rFonts w:ascii="Arial" w:hAnsi="Arial" w:cs="Arial"/>
                      <w:sz w:val="20"/>
                    </w:rPr>
                  </w:pPr>
                </w:p>
              </w:tc>
            </w:tr>
            <w:tr w:rsidR="00A436DF" w14:paraId="2ECEE2AE" w14:textId="77777777" w:rsidTr="00C822C4">
              <w:trPr>
                <w:trHeight w:val="378"/>
              </w:trPr>
              <w:tc>
                <w:tcPr>
                  <w:tcW w:w="2798" w:type="dxa"/>
                  <w:tcBorders>
                    <w:top w:val="single" w:sz="4" w:space="0" w:color="auto"/>
                    <w:left w:val="single" w:sz="4" w:space="0" w:color="auto"/>
                    <w:bottom w:val="single" w:sz="4" w:space="0" w:color="auto"/>
                    <w:right w:val="single" w:sz="4" w:space="0" w:color="auto"/>
                  </w:tcBorders>
                </w:tcPr>
                <w:p w14:paraId="76240587" w14:textId="2E93AB4C" w:rsidR="00A436DF" w:rsidRPr="00A436DF" w:rsidRDefault="00A436DF" w:rsidP="00A436DF">
                  <w:pPr>
                    <w:rPr>
                      <w:rFonts w:ascii="Arial" w:hAnsi="Arial" w:cs="Arial"/>
                      <w:sz w:val="20"/>
                      <w:lang w:val="en-ZA"/>
                    </w:rPr>
                  </w:pPr>
                  <w:r w:rsidRPr="00A436DF">
                    <w:rPr>
                      <w:rFonts w:ascii="Arial" w:hAnsi="Arial" w:cs="Arial"/>
                      <w:sz w:val="20"/>
                      <w:lang w:val="en-ZA"/>
                    </w:rPr>
                    <w:t>*Building material for construction</w:t>
                  </w:r>
                </w:p>
              </w:tc>
              <w:tc>
                <w:tcPr>
                  <w:tcW w:w="2546" w:type="dxa"/>
                  <w:tcBorders>
                    <w:top w:val="single" w:sz="4" w:space="0" w:color="auto"/>
                    <w:left w:val="single" w:sz="4" w:space="0" w:color="auto"/>
                    <w:bottom w:val="single" w:sz="4" w:space="0" w:color="auto"/>
                    <w:right w:val="single" w:sz="4" w:space="0" w:color="auto"/>
                  </w:tcBorders>
                </w:tcPr>
                <w:p w14:paraId="5EF4F697" w14:textId="5D1EC962" w:rsidR="00A436DF" w:rsidRPr="00A436DF" w:rsidRDefault="00A436DF" w:rsidP="00A436DF">
                  <w:pPr>
                    <w:spacing w:line="276" w:lineRule="auto"/>
                    <w:jc w:val="center"/>
                    <w:rPr>
                      <w:rFonts w:ascii="Arial" w:hAnsi="Arial" w:cs="Arial"/>
                      <w:sz w:val="20"/>
                      <w:lang w:val="en-ZA"/>
                    </w:rPr>
                  </w:pPr>
                  <w:r w:rsidRPr="00A436DF">
                    <w:rPr>
                      <w:rFonts w:ascii="Arial" w:hAnsi="Arial" w:cs="Arial"/>
                      <w:sz w:val="20"/>
                      <w:lang w:val="en-ZA"/>
                    </w:rPr>
                    <w:t>100%</w:t>
                  </w:r>
                </w:p>
              </w:tc>
              <w:tc>
                <w:tcPr>
                  <w:tcW w:w="2797" w:type="dxa"/>
                  <w:tcBorders>
                    <w:top w:val="single" w:sz="4" w:space="0" w:color="auto"/>
                    <w:left w:val="single" w:sz="4" w:space="0" w:color="auto"/>
                    <w:bottom w:val="single" w:sz="4" w:space="0" w:color="auto"/>
                    <w:right w:val="single" w:sz="4" w:space="0" w:color="auto"/>
                  </w:tcBorders>
                </w:tcPr>
                <w:p w14:paraId="76A4E415" w14:textId="77777777" w:rsidR="00A436DF" w:rsidRPr="007D4E0A" w:rsidRDefault="00A436DF" w:rsidP="00A436DF">
                  <w:pPr>
                    <w:spacing w:line="276" w:lineRule="auto"/>
                    <w:jc w:val="both"/>
                    <w:rPr>
                      <w:rFonts w:ascii="Arial" w:hAnsi="Arial" w:cs="Arial"/>
                      <w:sz w:val="20"/>
                    </w:rPr>
                  </w:pPr>
                </w:p>
              </w:tc>
            </w:tr>
            <w:tr w:rsidR="00A436DF" w14:paraId="73C12DF2" w14:textId="77777777" w:rsidTr="00C822C4">
              <w:trPr>
                <w:trHeight w:val="378"/>
              </w:trPr>
              <w:tc>
                <w:tcPr>
                  <w:tcW w:w="2798" w:type="dxa"/>
                  <w:tcBorders>
                    <w:top w:val="single" w:sz="4" w:space="0" w:color="auto"/>
                    <w:left w:val="single" w:sz="4" w:space="0" w:color="auto"/>
                    <w:bottom w:val="single" w:sz="4" w:space="0" w:color="auto"/>
                    <w:right w:val="single" w:sz="4" w:space="0" w:color="auto"/>
                  </w:tcBorders>
                </w:tcPr>
                <w:p w14:paraId="4167A3FA" w14:textId="721F4D9C" w:rsidR="00A436DF" w:rsidRPr="00A436DF" w:rsidRDefault="00A436DF" w:rsidP="00A436DF">
                  <w:pPr>
                    <w:rPr>
                      <w:rFonts w:ascii="Arial" w:hAnsi="Arial" w:cs="Arial"/>
                      <w:sz w:val="20"/>
                      <w:lang w:val="en-ZA"/>
                    </w:rPr>
                  </w:pPr>
                  <w:r w:rsidRPr="00A436DF">
                    <w:rPr>
                      <w:rFonts w:ascii="Arial" w:hAnsi="Arial" w:cs="Arial"/>
                      <w:sz w:val="20"/>
                      <w:lang w:val="en-ZA"/>
                    </w:rPr>
                    <w:t>*Steel Products and Components for Construction</w:t>
                  </w:r>
                </w:p>
              </w:tc>
              <w:tc>
                <w:tcPr>
                  <w:tcW w:w="2546" w:type="dxa"/>
                  <w:tcBorders>
                    <w:top w:val="single" w:sz="4" w:space="0" w:color="auto"/>
                    <w:left w:val="single" w:sz="4" w:space="0" w:color="auto"/>
                    <w:bottom w:val="single" w:sz="4" w:space="0" w:color="auto"/>
                    <w:right w:val="single" w:sz="4" w:space="0" w:color="auto"/>
                  </w:tcBorders>
                </w:tcPr>
                <w:p w14:paraId="400A97D8" w14:textId="0120A287" w:rsidR="00A436DF" w:rsidRPr="00A436DF" w:rsidRDefault="00A436DF" w:rsidP="00A436DF">
                  <w:pPr>
                    <w:spacing w:line="276" w:lineRule="auto"/>
                    <w:jc w:val="center"/>
                    <w:rPr>
                      <w:rFonts w:ascii="Arial" w:hAnsi="Arial" w:cs="Arial"/>
                      <w:sz w:val="20"/>
                      <w:lang w:val="en-ZA"/>
                    </w:rPr>
                  </w:pPr>
                  <w:r w:rsidRPr="00A436DF">
                    <w:rPr>
                      <w:rFonts w:ascii="Arial" w:hAnsi="Arial" w:cs="Arial"/>
                      <w:sz w:val="20"/>
                      <w:lang w:val="en-ZA"/>
                    </w:rPr>
                    <w:t>100%</w:t>
                  </w:r>
                </w:p>
              </w:tc>
              <w:tc>
                <w:tcPr>
                  <w:tcW w:w="2797" w:type="dxa"/>
                  <w:tcBorders>
                    <w:top w:val="single" w:sz="4" w:space="0" w:color="auto"/>
                    <w:left w:val="single" w:sz="4" w:space="0" w:color="auto"/>
                    <w:bottom w:val="single" w:sz="4" w:space="0" w:color="auto"/>
                    <w:right w:val="single" w:sz="4" w:space="0" w:color="auto"/>
                  </w:tcBorders>
                </w:tcPr>
                <w:p w14:paraId="71701421" w14:textId="77777777" w:rsidR="00A436DF" w:rsidRPr="007D4E0A" w:rsidRDefault="00A436DF" w:rsidP="00A436DF">
                  <w:pPr>
                    <w:spacing w:line="276" w:lineRule="auto"/>
                    <w:jc w:val="both"/>
                    <w:rPr>
                      <w:rFonts w:ascii="Arial" w:hAnsi="Arial" w:cs="Arial"/>
                      <w:sz w:val="20"/>
                    </w:rPr>
                  </w:pPr>
                </w:p>
              </w:tc>
            </w:tr>
            <w:tr w:rsidR="00A436DF" w14:paraId="6CC733AF" w14:textId="77777777" w:rsidTr="00C822C4">
              <w:trPr>
                <w:trHeight w:val="378"/>
              </w:trPr>
              <w:tc>
                <w:tcPr>
                  <w:tcW w:w="2798" w:type="dxa"/>
                  <w:tcBorders>
                    <w:top w:val="single" w:sz="4" w:space="0" w:color="auto"/>
                    <w:left w:val="single" w:sz="4" w:space="0" w:color="auto"/>
                    <w:bottom w:val="single" w:sz="4" w:space="0" w:color="auto"/>
                    <w:right w:val="single" w:sz="4" w:space="0" w:color="auto"/>
                  </w:tcBorders>
                </w:tcPr>
                <w:p w14:paraId="6CF57334" w14:textId="35F1530F" w:rsidR="00A436DF" w:rsidRPr="00A436DF" w:rsidRDefault="00A436DF" w:rsidP="00A436DF">
                  <w:pPr>
                    <w:rPr>
                      <w:rFonts w:ascii="Arial" w:hAnsi="Arial" w:cs="Arial"/>
                      <w:sz w:val="20"/>
                      <w:lang w:val="en-ZA"/>
                    </w:rPr>
                  </w:pPr>
                  <w:r w:rsidRPr="00A436DF">
                    <w:rPr>
                      <w:rFonts w:ascii="Arial" w:hAnsi="Arial" w:cs="Arial"/>
                      <w:sz w:val="20"/>
                      <w:lang w:val="en-ZA"/>
                    </w:rPr>
                    <w:t xml:space="preserve">*Plastic Pipes &amp; Fittings </w:t>
                  </w:r>
                </w:p>
              </w:tc>
              <w:tc>
                <w:tcPr>
                  <w:tcW w:w="2546" w:type="dxa"/>
                  <w:tcBorders>
                    <w:top w:val="single" w:sz="4" w:space="0" w:color="auto"/>
                    <w:left w:val="single" w:sz="4" w:space="0" w:color="auto"/>
                    <w:bottom w:val="single" w:sz="4" w:space="0" w:color="auto"/>
                    <w:right w:val="single" w:sz="4" w:space="0" w:color="auto"/>
                  </w:tcBorders>
                </w:tcPr>
                <w:p w14:paraId="1F51843C" w14:textId="5C07B410" w:rsidR="00A436DF" w:rsidRPr="00A436DF" w:rsidRDefault="00A436DF" w:rsidP="00A436DF">
                  <w:pPr>
                    <w:spacing w:line="276" w:lineRule="auto"/>
                    <w:jc w:val="center"/>
                    <w:rPr>
                      <w:rFonts w:ascii="Arial" w:hAnsi="Arial" w:cs="Arial"/>
                      <w:sz w:val="20"/>
                      <w:lang w:val="en-ZA"/>
                    </w:rPr>
                  </w:pPr>
                  <w:r w:rsidRPr="00A436DF">
                    <w:rPr>
                      <w:rFonts w:ascii="Arial" w:hAnsi="Arial" w:cs="Arial"/>
                      <w:sz w:val="20"/>
                      <w:lang w:val="en-ZA"/>
                    </w:rPr>
                    <w:t>100%</w:t>
                  </w:r>
                </w:p>
              </w:tc>
              <w:tc>
                <w:tcPr>
                  <w:tcW w:w="2797" w:type="dxa"/>
                  <w:tcBorders>
                    <w:top w:val="single" w:sz="4" w:space="0" w:color="auto"/>
                    <w:left w:val="single" w:sz="4" w:space="0" w:color="auto"/>
                    <w:bottom w:val="single" w:sz="4" w:space="0" w:color="auto"/>
                    <w:right w:val="single" w:sz="4" w:space="0" w:color="auto"/>
                  </w:tcBorders>
                </w:tcPr>
                <w:p w14:paraId="154AAC78" w14:textId="77777777" w:rsidR="00A436DF" w:rsidRPr="007D4E0A" w:rsidRDefault="00A436DF" w:rsidP="00A436DF">
                  <w:pPr>
                    <w:spacing w:line="276" w:lineRule="auto"/>
                    <w:jc w:val="both"/>
                    <w:rPr>
                      <w:rFonts w:ascii="Arial" w:hAnsi="Arial" w:cs="Arial"/>
                      <w:sz w:val="20"/>
                    </w:rPr>
                  </w:pPr>
                </w:p>
              </w:tc>
            </w:tr>
          </w:tbl>
          <w:p w14:paraId="2C2FB6E0" w14:textId="77777777" w:rsidR="007B57E6" w:rsidRDefault="007B57E6" w:rsidP="007B57E6">
            <w:pPr>
              <w:tabs>
                <w:tab w:val="left" w:pos="720"/>
              </w:tabs>
              <w:spacing w:line="360" w:lineRule="auto"/>
              <w:ind w:left="360"/>
              <w:jc w:val="both"/>
              <w:rPr>
                <w:rFonts w:ascii="Arial" w:hAnsi="Arial" w:cs="Arial"/>
                <w:b/>
                <w:sz w:val="20"/>
                <w:lang w:val="en-ZA"/>
              </w:rPr>
            </w:pPr>
          </w:p>
          <w:p w14:paraId="3D8783E5" w14:textId="193E3936" w:rsidR="006E14B5" w:rsidRPr="00D479A6" w:rsidRDefault="007369F7" w:rsidP="00AF6824">
            <w:pPr>
              <w:numPr>
                <w:ilvl w:val="0"/>
                <w:numId w:val="30"/>
              </w:numPr>
              <w:tabs>
                <w:tab w:val="left" w:pos="720"/>
              </w:tabs>
              <w:spacing w:line="360" w:lineRule="auto"/>
              <w:jc w:val="both"/>
              <w:rPr>
                <w:rFonts w:ascii="Arial" w:hAnsi="Arial" w:cs="Arial"/>
                <w:b/>
                <w:sz w:val="20"/>
                <w:lang w:val="en-ZA"/>
              </w:rPr>
            </w:pPr>
            <w:r>
              <w:rPr>
                <w:rFonts w:ascii="Arial" w:hAnsi="Arial" w:cs="Arial"/>
                <w:b/>
                <w:sz w:val="20"/>
                <w:lang w:val="en-ZA"/>
              </w:rPr>
              <w:lastRenderedPageBreak/>
              <w:t>Tenderers procuring from</w:t>
            </w:r>
            <w:r w:rsidR="006E14B5" w:rsidRPr="00E01CA7">
              <w:rPr>
                <w:rFonts w:ascii="Arial" w:hAnsi="Arial" w:cs="Arial"/>
                <w:b/>
                <w:sz w:val="20"/>
              </w:rPr>
              <w:t xml:space="preserve"> entities with a minimum 51% black ownership</w:t>
            </w:r>
          </w:p>
          <w:p w14:paraId="7704F744" w14:textId="2DB1A4FF" w:rsidR="00FF363F" w:rsidRPr="00FF363F" w:rsidRDefault="00FF363F" w:rsidP="00FF363F">
            <w:pPr>
              <w:spacing w:before="160" w:line="360" w:lineRule="auto"/>
              <w:ind w:left="360"/>
              <w:rPr>
                <w:rFonts w:ascii="Arial" w:hAnsi="Arial" w:cs="Arial"/>
                <w:sz w:val="20"/>
                <w:lang w:val="en-ZA"/>
              </w:rPr>
            </w:pPr>
            <w:r w:rsidRPr="00FF363F">
              <w:rPr>
                <w:rFonts w:ascii="Arial" w:hAnsi="Arial" w:cs="Arial"/>
                <w:sz w:val="20"/>
                <w:lang w:val="en-ZA"/>
              </w:rPr>
              <w:t xml:space="preserve">Subcontracting refers to activities which </w:t>
            </w:r>
            <w:r w:rsidR="007369F7">
              <w:rPr>
                <w:rFonts w:ascii="Arial" w:hAnsi="Arial" w:cs="Arial"/>
                <w:sz w:val="20"/>
                <w:lang w:val="en-ZA"/>
              </w:rPr>
              <w:t xml:space="preserve">tenderers </w:t>
            </w:r>
            <w:r w:rsidRPr="00FF363F">
              <w:rPr>
                <w:rFonts w:ascii="Arial" w:hAnsi="Arial" w:cs="Arial"/>
                <w:sz w:val="20"/>
                <w:lang w:val="en-ZA"/>
              </w:rPr>
              <w:t xml:space="preserve">outsource to other enterprises in its supply chain during the execution of the contract scope of work. </w:t>
            </w:r>
          </w:p>
          <w:p w14:paraId="12DBBDD6" w14:textId="73603093" w:rsidR="006E14B5" w:rsidRPr="00637D14" w:rsidRDefault="007369F7" w:rsidP="00FF363F">
            <w:pPr>
              <w:spacing w:before="160" w:line="360" w:lineRule="auto"/>
              <w:ind w:left="360"/>
              <w:rPr>
                <w:rFonts w:ascii="Arial" w:hAnsi="Arial" w:cs="Arial"/>
                <w:sz w:val="20"/>
                <w:lang w:val="en-ZA"/>
              </w:rPr>
            </w:pPr>
            <w:r>
              <w:rPr>
                <w:rFonts w:ascii="Arial" w:hAnsi="Arial" w:cs="Arial"/>
                <w:sz w:val="20"/>
                <w:lang w:val="en-ZA"/>
              </w:rPr>
              <w:t xml:space="preserve">Tenderers </w:t>
            </w:r>
            <w:r w:rsidR="00FF363F" w:rsidRPr="00FF363F">
              <w:rPr>
                <w:rFonts w:ascii="Arial" w:hAnsi="Arial" w:cs="Arial"/>
                <w:sz w:val="20"/>
                <w:lang w:val="en-ZA"/>
              </w:rPr>
              <w:t xml:space="preserve">can also achieve subcontracting requirements by claiming invoices paid to service providers of indirect expenses that </w:t>
            </w:r>
            <w:r w:rsidR="00FF363F">
              <w:rPr>
                <w:rFonts w:ascii="Arial" w:hAnsi="Arial" w:cs="Arial"/>
                <w:sz w:val="20"/>
                <w:lang w:val="en-ZA"/>
              </w:rPr>
              <w:t>it</w:t>
            </w:r>
            <w:r w:rsidR="00FF363F" w:rsidRPr="00FF363F">
              <w:rPr>
                <w:rFonts w:ascii="Arial" w:hAnsi="Arial" w:cs="Arial"/>
                <w:sz w:val="20"/>
                <w:lang w:val="en-ZA"/>
              </w:rPr>
              <w:t xml:space="preserve"> incurs in the operation of its business.  Such expenses may include courier services, training, transport costs, facility management, office /property rental, cleaning, gardening, ICT services.</w:t>
            </w:r>
          </w:p>
          <w:p w14:paraId="130E85D3" w14:textId="77777777" w:rsidR="00D479A6" w:rsidRDefault="00D479A6" w:rsidP="006E14B5">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1"/>
              <w:gridCol w:w="2119"/>
              <w:gridCol w:w="2120"/>
            </w:tblGrid>
            <w:tr w:rsidR="00CA1205" w:rsidRPr="000C5130" w14:paraId="485DD3BA" w14:textId="77777777" w:rsidTr="00692B80">
              <w:trPr>
                <w:trHeight w:val="364"/>
              </w:trPr>
              <w:tc>
                <w:tcPr>
                  <w:tcW w:w="3291" w:type="dxa"/>
                  <w:shd w:val="clear" w:color="auto" w:fill="D9D9D9" w:themeFill="background1" w:themeFillShade="D9"/>
                </w:tcPr>
                <w:p w14:paraId="2F30A347" w14:textId="4137A40B" w:rsidR="00CA1205" w:rsidRPr="000C5130" w:rsidRDefault="007E1380" w:rsidP="001923C8">
                  <w:pPr>
                    <w:tabs>
                      <w:tab w:val="left" w:pos="720"/>
                    </w:tabs>
                    <w:jc w:val="both"/>
                    <w:rPr>
                      <w:rFonts w:ascii="Arial" w:hAnsi="Arial" w:cs="Arial"/>
                      <w:b/>
                      <w:sz w:val="20"/>
                    </w:rPr>
                  </w:pPr>
                  <w:r>
                    <w:rPr>
                      <w:rFonts w:ascii="Arial" w:hAnsi="Arial" w:cs="Arial"/>
                      <w:b/>
                      <w:sz w:val="20"/>
                    </w:rPr>
                    <w:t xml:space="preserve">Procurement from black </w:t>
                  </w:r>
                  <w:r w:rsidR="00CA1205">
                    <w:rPr>
                      <w:rFonts w:ascii="Arial" w:hAnsi="Arial" w:cs="Arial"/>
                      <w:b/>
                      <w:sz w:val="20"/>
                    </w:rPr>
                    <w:t>Designated Group</w:t>
                  </w:r>
                </w:p>
              </w:tc>
              <w:tc>
                <w:tcPr>
                  <w:tcW w:w="2119" w:type="dxa"/>
                  <w:shd w:val="clear" w:color="auto" w:fill="D9D9D9" w:themeFill="background1" w:themeFillShade="D9"/>
                </w:tcPr>
                <w:p w14:paraId="77F4BA66" w14:textId="77777777" w:rsidR="00CA1205" w:rsidRPr="000C5130" w:rsidRDefault="00CA1205" w:rsidP="001923C8">
                  <w:pPr>
                    <w:tabs>
                      <w:tab w:val="left" w:pos="720"/>
                    </w:tabs>
                    <w:jc w:val="center"/>
                    <w:rPr>
                      <w:rFonts w:ascii="Arial" w:hAnsi="Arial" w:cs="Arial"/>
                      <w:b/>
                      <w:sz w:val="20"/>
                    </w:rPr>
                  </w:pPr>
                  <w:r>
                    <w:rPr>
                      <w:rFonts w:ascii="Arial" w:hAnsi="Arial" w:cs="Arial"/>
                      <w:b/>
                      <w:sz w:val="20"/>
                    </w:rPr>
                    <w:t>Eskom Target</w:t>
                  </w:r>
                </w:p>
              </w:tc>
              <w:tc>
                <w:tcPr>
                  <w:tcW w:w="2120" w:type="dxa"/>
                  <w:shd w:val="clear" w:color="auto" w:fill="D9D9D9" w:themeFill="background1" w:themeFillShade="D9"/>
                </w:tcPr>
                <w:p w14:paraId="029FD292" w14:textId="77777777" w:rsidR="00CA1205" w:rsidRPr="000C5130" w:rsidRDefault="00CA1205" w:rsidP="001923C8">
                  <w:pPr>
                    <w:tabs>
                      <w:tab w:val="left" w:pos="720"/>
                    </w:tabs>
                    <w:jc w:val="center"/>
                    <w:rPr>
                      <w:rFonts w:ascii="Arial" w:hAnsi="Arial" w:cs="Arial"/>
                      <w:b/>
                      <w:sz w:val="20"/>
                    </w:rPr>
                  </w:pPr>
                  <w:r w:rsidRPr="000C5130">
                    <w:rPr>
                      <w:rFonts w:ascii="Arial" w:hAnsi="Arial" w:cs="Arial"/>
                      <w:b/>
                      <w:sz w:val="20"/>
                    </w:rPr>
                    <w:t>Tenderer Proposal</w:t>
                  </w:r>
                </w:p>
              </w:tc>
            </w:tr>
            <w:tr w:rsidR="00CA1205" w:rsidRPr="000C5130" w14:paraId="509EABDC" w14:textId="77777777" w:rsidTr="00692B80">
              <w:trPr>
                <w:trHeight w:val="427"/>
              </w:trPr>
              <w:tc>
                <w:tcPr>
                  <w:tcW w:w="3291" w:type="dxa"/>
                  <w:shd w:val="clear" w:color="auto" w:fill="auto"/>
                </w:tcPr>
                <w:p w14:paraId="486270EE" w14:textId="77777777" w:rsidR="00CA1205" w:rsidRDefault="00CA1205" w:rsidP="001923C8">
                  <w:pPr>
                    <w:tabs>
                      <w:tab w:val="left" w:pos="720"/>
                    </w:tabs>
                    <w:jc w:val="both"/>
                    <w:rPr>
                      <w:rFonts w:ascii="Arial" w:hAnsi="Arial" w:cs="Arial"/>
                      <w:sz w:val="20"/>
                    </w:rPr>
                  </w:pPr>
                  <w:r>
                    <w:rPr>
                      <w:rFonts w:ascii="Arial" w:hAnsi="Arial" w:cs="Arial"/>
                      <w:sz w:val="20"/>
                    </w:rPr>
                    <w:t>Black Women Owned</w:t>
                  </w:r>
                </w:p>
              </w:tc>
              <w:tc>
                <w:tcPr>
                  <w:tcW w:w="2119" w:type="dxa"/>
                  <w:shd w:val="clear" w:color="auto" w:fill="auto"/>
                </w:tcPr>
                <w:p w14:paraId="03933341" w14:textId="2651615F" w:rsidR="00CA1205" w:rsidRPr="000C5130" w:rsidRDefault="00483391" w:rsidP="001923C8">
                  <w:pPr>
                    <w:tabs>
                      <w:tab w:val="left" w:pos="720"/>
                    </w:tabs>
                    <w:jc w:val="center"/>
                    <w:rPr>
                      <w:rFonts w:ascii="Arial" w:hAnsi="Arial" w:cs="Arial"/>
                      <w:sz w:val="20"/>
                    </w:rPr>
                  </w:pPr>
                  <w:r>
                    <w:rPr>
                      <w:rFonts w:ascii="Arial" w:hAnsi="Arial" w:cs="Arial"/>
                      <w:sz w:val="20"/>
                    </w:rPr>
                    <w:t>2</w:t>
                  </w:r>
                  <w:r w:rsidR="007405EA">
                    <w:rPr>
                      <w:rFonts w:ascii="Arial" w:hAnsi="Arial" w:cs="Arial"/>
                      <w:sz w:val="20"/>
                    </w:rPr>
                    <w:t>%</w:t>
                  </w:r>
                </w:p>
              </w:tc>
              <w:tc>
                <w:tcPr>
                  <w:tcW w:w="2120" w:type="dxa"/>
                  <w:shd w:val="clear" w:color="auto" w:fill="auto"/>
                </w:tcPr>
                <w:p w14:paraId="41220175" w14:textId="77777777" w:rsidR="00CA1205" w:rsidRPr="000C5130" w:rsidRDefault="00CA1205" w:rsidP="001923C8">
                  <w:pPr>
                    <w:tabs>
                      <w:tab w:val="left" w:pos="720"/>
                    </w:tabs>
                    <w:jc w:val="both"/>
                    <w:rPr>
                      <w:rFonts w:ascii="Arial" w:hAnsi="Arial" w:cs="Arial"/>
                      <w:sz w:val="20"/>
                    </w:rPr>
                  </w:pPr>
                </w:p>
              </w:tc>
            </w:tr>
            <w:tr w:rsidR="00CA1205" w:rsidRPr="000C5130" w14:paraId="6C931179" w14:textId="77777777" w:rsidTr="00692B80">
              <w:trPr>
                <w:trHeight w:val="427"/>
              </w:trPr>
              <w:tc>
                <w:tcPr>
                  <w:tcW w:w="3291" w:type="dxa"/>
                  <w:shd w:val="clear" w:color="auto" w:fill="auto"/>
                </w:tcPr>
                <w:p w14:paraId="72340643" w14:textId="77777777" w:rsidR="00CA1205" w:rsidRDefault="00CA1205" w:rsidP="001923C8">
                  <w:pPr>
                    <w:tabs>
                      <w:tab w:val="left" w:pos="720"/>
                    </w:tabs>
                    <w:jc w:val="both"/>
                    <w:rPr>
                      <w:rFonts w:ascii="Arial" w:hAnsi="Arial" w:cs="Arial"/>
                      <w:sz w:val="20"/>
                    </w:rPr>
                  </w:pPr>
                  <w:r>
                    <w:rPr>
                      <w:rFonts w:ascii="Arial" w:hAnsi="Arial" w:cs="Arial"/>
                      <w:sz w:val="20"/>
                    </w:rPr>
                    <w:t>Black Youth Owned</w:t>
                  </w:r>
                </w:p>
              </w:tc>
              <w:tc>
                <w:tcPr>
                  <w:tcW w:w="2119" w:type="dxa"/>
                  <w:shd w:val="clear" w:color="auto" w:fill="auto"/>
                </w:tcPr>
                <w:p w14:paraId="50E13565" w14:textId="3CC950C7" w:rsidR="00CA1205" w:rsidRPr="000C5130" w:rsidRDefault="007405EA" w:rsidP="001923C8">
                  <w:pPr>
                    <w:tabs>
                      <w:tab w:val="left" w:pos="720"/>
                    </w:tabs>
                    <w:jc w:val="center"/>
                    <w:rPr>
                      <w:rFonts w:ascii="Arial" w:hAnsi="Arial" w:cs="Arial"/>
                      <w:sz w:val="20"/>
                    </w:rPr>
                  </w:pPr>
                  <w:r>
                    <w:rPr>
                      <w:rFonts w:ascii="Arial" w:hAnsi="Arial" w:cs="Arial"/>
                      <w:sz w:val="20"/>
                    </w:rPr>
                    <w:t>2%</w:t>
                  </w:r>
                </w:p>
              </w:tc>
              <w:tc>
                <w:tcPr>
                  <w:tcW w:w="2120" w:type="dxa"/>
                  <w:shd w:val="clear" w:color="auto" w:fill="auto"/>
                </w:tcPr>
                <w:p w14:paraId="6ACA43AC" w14:textId="77777777" w:rsidR="00CA1205" w:rsidRPr="000C5130" w:rsidRDefault="00CA1205" w:rsidP="001923C8">
                  <w:pPr>
                    <w:tabs>
                      <w:tab w:val="left" w:pos="720"/>
                    </w:tabs>
                    <w:jc w:val="both"/>
                    <w:rPr>
                      <w:rFonts w:ascii="Arial" w:hAnsi="Arial" w:cs="Arial"/>
                      <w:sz w:val="20"/>
                    </w:rPr>
                  </w:pPr>
                </w:p>
              </w:tc>
            </w:tr>
            <w:tr w:rsidR="00CA1205" w:rsidRPr="000C5130" w14:paraId="393EA421" w14:textId="77777777" w:rsidTr="00692B80">
              <w:trPr>
                <w:trHeight w:val="427"/>
              </w:trPr>
              <w:tc>
                <w:tcPr>
                  <w:tcW w:w="3291" w:type="dxa"/>
                  <w:shd w:val="clear" w:color="auto" w:fill="auto"/>
                </w:tcPr>
                <w:p w14:paraId="61122FB0" w14:textId="77777777" w:rsidR="00CA1205" w:rsidRDefault="00CA1205" w:rsidP="001923C8">
                  <w:pPr>
                    <w:tabs>
                      <w:tab w:val="left" w:pos="720"/>
                    </w:tabs>
                    <w:jc w:val="both"/>
                    <w:rPr>
                      <w:rFonts w:ascii="Arial" w:hAnsi="Arial" w:cs="Arial"/>
                      <w:sz w:val="20"/>
                    </w:rPr>
                  </w:pPr>
                  <w:r>
                    <w:rPr>
                      <w:rFonts w:ascii="Arial" w:hAnsi="Arial" w:cs="Arial"/>
                      <w:sz w:val="20"/>
                    </w:rPr>
                    <w:t>Black Persons with Disability</w:t>
                  </w:r>
                </w:p>
              </w:tc>
              <w:tc>
                <w:tcPr>
                  <w:tcW w:w="2119" w:type="dxa"/>
                  <w:shd w:val="clear" w:color="auto" w:fill="auto"/>
                </w:tcPr>
                <w:p w14:paraId="11BC5FF6" w14:textId="11C545AA" w:rsidR="00CA1205" w:rsidRPr="000C5130" w:rsidRDefault="007405EA" w:rsidP="001923C8">
                  <w:pPr>
                    <w:tabs>
                      <w:tab w:val="left" w:pos="720"/>
                    </w:tabs>
                    <w:jc w:val="center"/>
                    <w:rPr>
                      <w:rFonts w:ascii="Arial" w:hAnsi="Arial" w:cs="Arial"/>
                      <w:sz w:val="20"/>
                    </w:rPr>
                  </w:pPr>
                  <w:r>
                    <w:rPr>
                      <w:rFonts w:ascii="Arial" w:hAnsi="Arial" w:cs="Arial"/>
                      <w:sz w:val="20"/>
                    </w:rPr>
                    <w:t>1%</w:t>
                  </w:r>
                </w:p>
              </w:tc>
              <w:tc>
                <w:tcPr>
                  <w:tcW w:w="2120" w:type="dxa"/>
                  <w:shd w:val="clear" w:color="auto" w:fill="auto"/>
                </w:tcPr>
                <w:p w14:paraId="02BA1EDD" w14:textId="77777777" w:rsidR="00CA1205" w:rsidRPr="000C5130" w:rsidRDefault="00CA1205" w:rsidP="001923C8">
                  <w:pPr>
                    <w:tabs>
                      <w:tab w:val="left" w:pos="720"/>
                    </w:tabs>
                    <w:jc w:val="both"/>
                    <w:rPr>
                      <w:rFonts w:ascii="Arial" w:hAnsi="Arial" w:cs="Arial"/>
                      <w:sz w:val="20"/>
                    </w:rPr>
                  </w:pPr>
                </w:p>
              </w:tc>
            </w:tr>
          </w:tbl>
          <w:p w14:paraId="0C34D605" w14:textId="77777777" w:rsidR="00A436DF" w:rsidRDefault="00A436DF" w:rsidP="00861BE0">
            <w:pPr>
              <w:tabs>
                <w:tab w:val="left" w:pos="720"/>
              </w:tabs>
              <w:spacing w:line="276" w:lineRule="auto"/>
              <w:jc w:val="both"/>
              <w:rPr>
                <w:rFonts w:ascii="Arial" w:hAnsi="Arial" w:cs="Arial"/>
                <w:sz w:val="20"/>
                <w:lang w:val="en-ZA"/>
              </w:rPr>
            </w:pPr>
          </w:p>
          <w:p w14:paraId="32723A4B" w14:textId="2D052C60" w:rsidR="00A436DF" w:rsidRDefault="00B62C97" w:rsidP="00861BE0">
            <w:pPr>
              <w:tabs>
                <w:tab w:val="left" w:pos="720"/>
              </w:tabs>
              <w:spacing w:line="276" w:lineRule="auto"/>
              <w:jc w:val="both"/>
              <w:rPr>
                <w:rFonts w:ascii="Arial" w:hAnsi="Arial" w:cs="Arial"/>
                <w:b/>
                <w:bCs/>
                <w:sz w:val="20"/>
                <w:lang w:val="en-ZA"/>
              </w:rPr>
            </w:pPr>
            <w:r>
              <w:rPr>
                <w:rFonts w:ascii="Arial" w:hAnsi="Arial" w:cs="Arial"/>
                <w:b/>
                <w:bCs/>
                <w:sz w:val="20"/>
                <w:lang w:val="en-ZA"/>
              </w:rPr>
              <w:t>Example of p</w:t>
            </w:r>
            <w:r w:rsidR="00A436DF" w:rsidRPr="00077297">
              <w:rPr>
                <w:rFonts w:ascii="Arial" w:hAnsi="Arial" w:cs="Arial"/>
                <w:b/>
                <w:bCs/>
                <w:sz w:val="20"/>
                <w:lang w:val="en-ZA"/>
              </w:rPr>
              <w:t xml:space="preserve">ossible </w:t>
            </w:r>
            <w:r w:rsidR="00077297" w:rsidRPr="00077297">
              <w:rPr>
                <w:rFonts w:ascii="Arial" w:hAnsi="Arial" w:cs="Arial"/>
                <w:b/>
                <w:bCs/>
                <w:sz w:val="20"/>
                <w:lang w:val="en-ZA"/>
              </w:rPr>
              <w:t>subcontracting</w:t>
            </w:r>
            <w:r w:rsidR="00A436DF" w:rsidRPr="00077297">
              <w:rPr>
                <w:rFonts w:ascii="Arial" w:hAnsi="Arial" w:cs="Arial"/>
                <w:b/>
                <w:bCs/>
                <w:sz w:val="20"/>
                <w:lang w:val="en-ZA"/>
              </w:rPr>
              <w:t xml:space="preserve"> o</w:t>
            </w:r>
            <w:r w:rsidR="00077297" w:rsidRPr="00077297">
              <w:rPr>
                <w:rFonts w:ascii="Arial" w:hAnsi="Arial" w:cs="Arial"/>
                <w:b/>
                <w:bCs/>
                <w:sz w:val="20"/>
                <w:lang w:val="en-ZA"/>
              </w:rPr>
              <w:t>pportunities</w:t>
            </w:r>
            <w:r w:rsidR="00077297">
              <w:rPr>
                <w:rFonts w:ascii="Arial" w:hAnsi="Arial" w:cs="Arial"/>
                <w:b/>
                <w:bCs/>
                <w:sz w:val="20"/>
                <w:lang w:val="en-ZA"/>
              </w:rPr>
              <w:t>:</w:t>
            </w:r>
          </w:p>
          <w:p w14:paraId="61F3F564" w14:textId="77777777" w:rsidR="00077297" w:rsidRDefault="00077297" w:rsidP="00861BE0">
            <w:pPr>
              <w:tabs>
                <w:tab w:val="left" w:pos="720"/>
              </w:tabs>
              <w:spacing w:line="276" w:lineRule="auto"/>
              <w:jc w:val="both"/>
              <w:rPr>
                <w:rFonts w:ascii="Arial" w:hAnsi="Arial" w:cs="Arial"/>
                <w:b/>
                <w:bCs/>
                <w:sz w:val="20"/>
                <w:lang w:val="en-ZA"/>
              </w:rPr>
            </w:pPr>
          </w:p>
          <w:p w14:paraId="612ED125" w14:textId="789E75D1" w:rsidR="00077297" w:rsidRPr="00077297" w:rsidRDefault="00077297" w:rsidP="00077297">
            <w:pPr>
              <w:pStyle w:val="ListParagraph"/>
              <w:numPr>
                <w:ilvl w:val="0"/>
                <w:numId w:val="44"/>
              </w:numPr>
              <w:tabs>
                <w:tab w:val="left" w:pos="720"/>
              </w:tabs>
              <w:spacing w:line="276" w:lineRule="auto"/>
              <w:jc w:val="both"/>
              <w:rPr>
                <w:rFonts w:ascii="Arial" w:hAnsi="Arial" w:cs="Arial"/>
                <w:sz w:val="20"/>
                <w:lang w:val="en-ZA"/>
              </w:rPr>
            </w:pPr>
            <w:r w:rsidRPr="00077297">
              <w:rPr>
                <w:rFonts w:ascii="Arial" w:hAnsi="Arial" w:cs="Arial"/>
                <w:sz w:val="20"/>
                <w:lang w:val="en-ZA"/>
              </w:rPr>
              <w:t>Site establishment</w:t>
            </w:r>
          </w:p>
          <w:p w14:paraId="07BB466A" w14:textId="6F567C0A" w:rsidR="00077297" w:rsidRPr="00077297" w:rsidRDefault="00077297" w:rsidP="00077297">
            <w:pPr>
              <w:pStyle w:val="ListParagraph"/>
              <w:numPr>
                <w:ilvl w:val="0"/>
                <w:numId w:val="44"/>
              </w:numPr>
              <w:tabs>
                <w:tab w:val="left" w:pos="720"/>
              </w:tabs>
              <w:spacing w:line="276" w:lineRule="auto"/>
              <w:jc w:val="both"/>
              <w:rPr>
                <w:rFonts w:ascii="Arial" w:hAnsi="Arial" w:cs="Arial"/>
                <w:sz w:val="20"/>
                <w:lang w:val="en-ZA"/>
              </w:rPr>
            </w:pPr>
            <w:r w:rsidRPr="00077297">
              <w:rPr>
                <w:rFonts w:ascii="Arial" w:hAnsi="Arial" w:cs="Arial"/>
                <w:sz w:val="20"/>
                <w:lang w:val="en-ZA"/>
              </w:rPr>
              <w:t>Building Material</w:t>
            </w:r>
          </w:p>
          <w:p w14:paraId="765C459E" w14:textId="77777777" w:rsidR="00077297" w:rsidRPr="00077297" w:rsidRDefault="00077297" w:rsidP="00077297">
            <w:pPr>
              <w:pStyle w:val="ListParagraph"/>
              <w:numPr>
                <w:ilvl w:val="0"/>
                <w:numId w:val="44"/>
              </w:numPr>
              <w:tabs>
                <w:tab w:val="left" w:pos="720"/>
              </w:tabs>
              <w:spacing w:line="276" w:lineRule="auto"/>
              <w:jc w:val="both"/>
              <w:rPr>
                <w:rFonts w:ascii="Arial" w:hAnsi="Arial" w:cs="Arial"/>
                <w:sz w:val="20"/>
                <w:lang w:val="en-ZA"/>
              </w:rPr>
            </w:pPr>
            <w:r w:rsidRPr="00077297">
              <w:rPr>
                <w:rFonts w:ascii="Arial" w:hAnsi="Arial" w:cs="Arial"/>
                <w:sz w:val="20"/>
                <w:lang w:val="en-ZA"/>
              </w:rPr>
              <w:t>Transport</w:t>
            </w:r>
          </w:p>
          <w:p w14:paraId="6E60301B" w14:textId="77777777" w:rsidR="00077297" w:rsidRPr="00077297" w:rsidRDefault="00077297" w:rsidP="00077297">
            <w:pPr>
              <w:pStyle w:val="ListParagraph"/>
              <w:numPr>
                <w:ilvl w:val="0"/>
                <w:numId w:val="44"/>
              </w:numPr>
              <w:tabs>
                <w:tab w:val="left" w:pos="720"/>
              </w:tabs>
              <w:spacing w:line="276" w:lineRule="auto"/>
              <w:jc w:val="both"/>
              <w:rPr>
                <w:rFonts w:ascii="Arial" w:hAnsi="Arial" w:cs="Arial"/>
                <w:sz w:val="20"/>
                <w:lang w:val="en-ZA"/>
              </w:rPr>
            </w:pPr>
            <w:r w:rsidRPr="00077297">
              <w:rPr>
                <w:rFonts w:ascii="Arial" w:hAnsi="Arial" w:cs="Arial"/>
                <w:sz w:val="20"/>
                <w:lang w:val="en-ZA"/>
              </w:rPr>
              <w:t xml:space="preserve">Plant Hire </w:t>
            </w:r>
          </w:p>
          <w:p w14:paraId="7B226A40" w14:textId="3A84309F" w:rsidR="00077297" w:rsidRPr="00077297" w:rsidRDefault="00077297" w:rsidP="00077297">
            <w:pPr>
              <w:pStyle w:val="ListParagraph"/>
              <w:numPr>
                <w:ilvl w:val="0"/>
                <w:numId w:val="44"/>
              </w:numPr>
              <w:tabs>
                <w:tab w:val="left" w:pos="720"/>
              </w:tabs>
              <w:spacing w:line="276" w:lineRule="auto"/>
              <w:jc w:val="both"/>
              <w:rPr>
                <w:rFonts w:ascii="Arial" w:hAnsi="Arial" w:cs="Arial"/>
                <w:sz w:val="20"/>
                <w:lang w:val="en-ZA"/>
              </w:rPr>
            </w:pPr>
            <w:r w:rsidRPr="00077297">
              <w:rPr>
                <w:rFonts w:ascii="Arial" w:hAnsi="Arial" w:cs="Arial"/>
                <w:sz w:val="20"/>
                <w:lang w:val="en-ZA"/>
              </w:rPr>
              <w:t>Bu</w:t>
            </w:r>
            <w:r w:rsidR="00B62C97">
              <w:rPr>
                <w:rFonts w:ascii="Arial" w:hAnsi="Arial" w:cs="Arial"/>
                <w:sz w:val="20"/>
                <w:lang w:val="en-ZA"/>
              </w:rPr>
              <w:t>s</w:t>
            </w:r>
            <w:r w:rsidRPr="00077297">
              <w:rPr>
                <w:rFonts w:ascii="Arial" w:hAnsi="Arial" w:cs="Arial"/>
                <w:sz w:val="20"/>
                <w:lang w:val="en-ZA"/>
              </w:rPr>
              <w:t>h Clearing</w:t>
            </w:r>
          </w:p>
          <w:p w14:paraId="72530F8F" w14:textId="36ABD406" w:rsidR="00077297" w:rsidRPr="00077297" w:rsidRDefault="00077297" w:rsidP="00077297">
            <w:pPr>
              <w:pStyle w:val="ListParagraph"/>
              <w:numPr>
                <w:ilvl w:val="0"/>
                <w:numId w:val="44"/>
              </w:numPr>
              <w:tabs>
                <w:tab w:val="left" w:pos="720"/>
              </w:tabs>
              <w:spacing w:line="276" w:lineRule="auto"/>
              <w:jc w:val="both"/>
              <w:rPr>
                <w:rFonts w:ascii="Arial" w:hAnsi="Arial" w:cs="Arial"/>
                <w:b/>
                <w:bCs/>
                <w:sz w:val="20"/>
                <w:lang w:val="en-ZA"/>
              </w:rPr>
            </w:pPr>
            <w:r w:rsidRPr="00077297">
              <w:rPr>
                <w:rFonts w:ascii="Arial" w:hAnsi="Arial" w:cs="Arial"/>
                <w:sz w:val="20"/>
                <w:lang w:val="en-ZA"/>
              </w:rPr>
              <w:t>Construction / Building material</w:t>
            </w:r>
          </w:p>
          <w:p w14:paraId="7DFDAA56" w14:textId="77777777" w:rsidR="00077297" w:rsidRPr="00077297" w:rsidRDefault="00077297" w:rsidP="00861BE0">
            <w:pPr>
              <w:tabs>
                <w:tab w:val="left" w:pos="720"/>
              </w:tabs>
              <w:spacing w:line="276" w:lineRule="auto"/>
              <w:jc w:val="both"/>
              <w:rPr>
                <w:rFonts w:ascii="Arial" w:hAnsi="Arial" w:cs="Arial"/>
                <w:b/>
                <w:bCs/>
                <w:sz w:val="20"/>
                <w:lang w:val="en-ZA"/>
              </w:rPr>
            </w:pPr>
          </w:p>
          <w:p w14:paraId="232A83A1" w14:textId="7E8A01B5" w:rsidR="006E4F88" w:rsidRPr="000263D8" w:rsidRDefault="00D479A6"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r w:rsidR="007369F7">
              <w:rPr>
                <w:rFonts w:ascii="Arial" w:hAnsi="Arial" w:cs="Arial"/>
                <w:sz w:val="20"/>
                <w:lang w:val="en-ZA"/>
              </w:rPr>
              <w:t>Tenderers are</w:t>
            </w:r>
            <w:r w:rsidR="006E4F88">
              <w:rPr>
                <w:rFonts w:ascii="Arial" w:hAnsi="Arial" w:cs="Arial"/>
                <w:sz w:val="20"/>
                <w:lang w:val="en-ZA"/>
              </w:rPr>
              <w:t xml:space="preserve"> required to submit proposals for the type and number of jobs that will be created and retained </w:t>
            </w:r>
            <w:r w:rsidR="005C2E51">
              <w:rPr>
                <w:rFonts w:ascii="Arial" w:hAnsi="Arial" w:cs="Arial"/>
                <w:sz w:val="20"/>
                <w:lang w:val="en-ZA"/>
              </w:rPr>
              <w:t xml:space="preserve">in South Africa </w:t>
            </w:r>
            <w:r w:rsidR="006E4F88">
              <w:rPr>
                <w:rFonts w:ascii="Arial" w:hAnsi="Arial" w:cs="Arial"/>
                <w:sz w:val="20"/>
                <w:lang w:val="en-ZA"/>
              </w:rPr>
              <w:t xml:space="preserve">as a direct result of </w:t>
            </w:r>
            <w:r w:rsidR="00686AD4">
              <w:rPr>
                <w:rFonts w:ascii="Arial" w:hAnsi="Arial" w:cs="Arial"/>
                <w:sz w:val="20"/>
                <w:lang w:val="en-ZA"/>
              </w:rPr>
              <w:t>being awarded a</w:t>
            </w:r>
            <w:r w:rsidR="006E4F88">
              <w:rPr>
                <w:rFonts w:ascii="Arial" w:hAnsi="Arial" w:cs="Arial"/>
                <w:sz w:val="20"/>
                <w:lang w:val="en-ZA"/>
              </w:rPr>
              <w:t xml:space="preserve"> contract.</w:t>
            </w:r>
          </w:p>
          <w:p w14:paraId="26453AFF" w14:textId="77777777" w:rsidR="006E4F88" w:rsidRDefault="006E4F88" w:rsidP="006E4F88">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3"/>
              <w:gridCol w:w="3694"/>
            </w:tblGrid>
            <w:tr w:rsidR="00FA31B2" w:rsidRPr="000C5130" w14:paraId="0E6CA062" w14:textId="77777777" w:rsidTr="00077297">
              <w:trPr>
                <w:trHeight w:val="287"/>
              </w:trPr>
              <w:tc>
                <w:tcPr>
                  <w:tcW w:w="3983" w:type="dxa"/>
                  <w:shd w:val="clear" w:color="auto" w:fill="D9D9D9" w:themeFill="background1" w:themeFillShade="D9"/>
                </w:tcPr>
                <w:p w14:paraId="48F51FEE"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694" w:type="dxa"/>
                  <w:shd w:val="clear" w:color="auto" w:fill="D9D9D9" w:themeFill="background1" w:themeFillShade="D9"/>
                </w:tcPr>
                <w:p w14:paraId="7ED6B863"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6E4F88" w:rsidRPr="000C5130" w14:paraId="273BFF2C" w14:textId="77777777" w:rsidTr="00077297">
              <w:trPr>
                <w:trHeight w:val="302"/>
              </w:trPr>
              <w:tc>
                <w:tcPr>
                  <w:tcW w:w="3983" w:type="dxa"/>
                  <w:shd w:val="clear" w:color="auto" w:fill="auto"/>
                </w:tcPr>
                <w:p w14:paraId="78519129" w14:textId="77777777" w:rsidR="006E4F88" w:rsidRPr="000C5130" w:rsidRDefault="006E4F88" w:rsidP="006E4F88">
                  <w:pPr>
                    <w:tabs>
                      <w:tab w:val="left" w:pos="720"/>
                    </w:tabs>
                    <w:spacing w:line="276" w:lineRule="auto"/>
                    <w:jc w:val="both"/>
                    <w:rPr>
                      <w:rFonts w:ascii="Arial" w:hAnsi="Arial" w:cs="Arial"/>
                      <w:sz w:val="20"/>
                    </w:rPr>
                  </w:pPr>
                </w:p>
              </w:tc>
              <w:tc>
                <w:tcPr>
                  <w:tcW w:w="3694" w:type="dxa"/>
                  <w:shd w:val="clear" w:color="auto" w:fill="auto"/>
                </w:tcPr>
                <w:p w14:paraId="6C3ACF9F" w14:textId="77777777" w:rsidR="006E4F88" w:rsidRPr="000C5130" w:rsidRDefault="006E4F88" w:rsidP="006E4F88">
                  <w:pPr>
                    <w:tabs>
                      <w:tab w:val="left" w:pos="720"/>
                    </w:tabs>
                    <w:spacing w:line="276" w:lineRule="auto"/>
                    <w:jc w:val="both"/>
                    <w:rPr>
                      <w:rFonts w:ascii="Arial" w:hAnsi="Arial" w:cs="Arial"/>
                      <w:sz w:val="20"/>
                    </w:rPr>
                  </w:pPr>
                </w:p>
              </w:tc>
            </w:tr>
          </w:tbl>
          <w:p w14:paraId="43B910ED" w14:textId="77777777" w:rsidR="006E4F88" w:rsidRDefault="006E4F88" w:rsidP="006E4F88">
            <w:pPr>
              <w:pStyle w:val="ListParagraph"/>
              <w:rPr>
                <w:rFonts w:ascii="Arial" w:hAnsi="Arial" w:cs="Arial"/>
                <w:b/>
                <w:sz w:val="20"/>
                <w:lang w:val="en-ZA"/>
              </w:rPr>
            </w:pPr>
          </w:p>
          <w:p w14:paraId="2DCB3B0D" w14:textId="77777777" w:rsidR="006E4F88" w:rsidRDefault="006E4F88" w:rsidP="006E4F88">
            <w:pPr>
              <w:pStyle w:val="ListParagraph"/>
              <w:rPr>
                <w:rFonts w:ascii="Arial" w:hAnsi="Arial" w:cs="Arial"/>
                <w:b/>
                <w:sz w:val="20"/>
                <w:lang w:val="en-ZA"/>
              </w:rPr>
            </w:pPr>
          </w:p>
          <w:p w14:paraId="68A52B3A" w14:textId="77777777" w:rsidR="006E4F88" w:rsidRDefault="006E4F88" w:rsidP="006E4F88">
            <w:pPr>
              <w:pStyle w:val="ListParagraph"/>
              <w:rPr>
                <w:rFonts w:ascii="Arial" w:hAnsi="Arial" w:cs="Arial"/>
                <w:b/>
                <w:sz w:val="20"/>
                <w:lang w:val="en-ZA"/>
              </w:rPr>
            </w:pPr>
          </w:p>
          <w:p w14:paraId="2378312E" w14:textId="77777777" w:rsidR="007E0CE5" w:rsidRDefault="007E0CE5" w:rsidP="007E0CE5">
            <w:pPr>
              <w:tabs>
                <w:tab w:val="left" w:pos="720"/>
              </w:tabs>
              <w:spacing w:line="276" w:lineRule="auto"/>
              <w:ind w:left="360"/>
              <w:jc w:val="both"/>
              <w:rPr>
                <w:rFonts w:ascii="Arial" w:hAnsi="Arial" w:cs="Arial"/>
                <w:b/>
                <w:sz w:val="20"/>
                <w:lang w:val="en-ZA"/>
              </w:rPr>
            </w:pPr>
          </w:p>
          <w:tbl>
            <w:tblPr>
              <w:tblW w:w="0" w:type="auto"/>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9"/>
              <w:gridCol w:w="2778"/>
              <w:gridCol w:w="2298"/>
            </w:tblGrid>
            <w:tr w:rsidR="00077297" w:rsidRPr="005B68AE" w14:paraId="20FB6900" w14:textId="77777777" w:rsidTr="00077297">
              <w:tc>
                <w:tcPr>
                  <w:tcW w:w="2579" w:type="dxa"/>
                  <w:shd w:val="clear" w:color="auto" w:fill="auto"/>
                </w:tcPr>
                <w:p w14:paraId="41CF795B" w14:textId="77777777" w:rsidR="00077297" w:rsidRPr="005B68AE" w:rsidRDefault="00077297" w:rsidP="00077297">
                  <w:pPr>
                    <w:jc w:val="both"/>
                    <w:rPr>
                      <w:rFonts w:ascii="Arial" w:hAnsi="Arial" w:cs="Arial"/>
                      <w:b/>
                      <w:sz w:val="20"/>
                      <w:lang w:val="en-ZA"/>
                    </w:rPr>
                  </w:pPr>
                  <w:r w:rsidRPr="005B68AE">
                    <w:rPr>
                      <w:rFonts w:ascii="Arial" w:hAnsi="Arial" w:cs="Arial"/>
                      <w:b/>
                      <w:sz w:val="20"/>
                      <w:lang w:val="en-ZA"/>
                    </w:rPr>
                    <w:t>Type of jobs</w:t>
                  </w:r>
                </w:p>
              </w:tc>
              <w:tc>
                <w:tcPr>
                  <w:tcW w:w="2778" w:type="dxa"/>
                  <w:shd w:val="clear" w:color="auto" w:fill="auto"/>
                </w:tcPr>
                <w:p w14:paraId="4F6F7F3C" w14:textId="77777777" w:rsidR="00077297" w:rsidRPr="005B68AE" w:rsidRDefault="00077297" w:rsidP="00077297">
                  <w:pPr>
                    <w:jc w:val="both"/>
                    <w:rPr>
                      <w:rFonts w:ascii="Arial" w:hAnsi="Arial" w:cs="Arial"/>
                      <w:b/>
                      <w:sz w:val="20"/>
                      <w:lang w:val="en-ZA"/>
                    </w:rPr>
                  </w:pPr>
                  <w:r w:rsidRPr="005B68AE">
                    <w:rPr>
                      <w:rFonts w:ascii="Arial" w:hAnsi="Arial" w:cs="Arial"/>
                      <w:b/>
                      <w:sz w:val="20"/>
                      <w:lang w:val="en-ZA"/>
                    </w:rPr>
                    <w:t>Target set (local-to-site)</w:t>
                  </w:r>
                </w:p>
              </w:tc>
              <w:tc>
                <w:tcPr>
                  <w:tcW w:w="2298" w:type="dxa"/>
                  <w:shd w:val="clear" w:color="auto" w:fill="auto"/>
                </w:tcPr>
                <w:p w14:paraId="0370FF36" w14:textId="77777777" w:rsidR="00077297" w:rsidRPr="005B68AE" w:rsidRDefault="00077297" w:rsidP="00077297">
                  <w:pPr>
                    <w:jc w:val="both"/>
                    <w:rPr>
                      <w:rFonts w:ascii="Arial" w:hAnsi="Arial" w:cs="Arial"/>
                      <w:b/>
                      <w:sz w:val="20"/>
                      <w:lang w:val="en-ZA"/>
                    </w:rPr>
                  </w:pPr>
                  <w:r w:rsidRPr="005B68AE">
                    <w:rPr>
                      <w:rFonts w:ascii="Arial" w:hAnsi="Arial" w:cs="Arial"/>
                      <w:b/>
                      <w:sz w:val="20"/>
                      <w:lang w:val="en-ZA"/>
                    </w:rPr>
                    <w:t>Suppliers Proposal</w:t>
                  </w:r>
                </w:p>
              </w:tc>
            </w:tr>
            <w:tr w:rsidR="00077297" w:rsidRPr="005B68AE" w14:paraId="032BA334" w14:textId="77777777" w:rsidTr="00077297">
              <w:tc>
                <w:tcPr>
                  <w:tcW w:w="2579" w:type="dxa"/>
                  <w:shd w:val="clear" w:color="auto" w:fill="auto"/>
                </w:tcPr>
                <w:p w14:paraId="67F7E92F" w14:textId="77777777" w:rsidR="00077297" w:rsidRPr="005B68AE" w:rsidRDefault="00077297" w:rsidP="00077297">
                  <w:pPr>
                    <w:jc w:val="both"/>
                    <w:rPr>
                      <w:rFonts w:ascii="Arial" w:hAnsi="Arial" w:cs="Arial"/>
                      <w:sz w:val="20"/>
                      <w:lang w:val="en-ZA"/>
                    </w:rPr>
                  </w:pPr>
                  <w:r w:rsidRPr="005B68AE">
                    <w:rPr>
                      <w:rFonts w:ascii="Arial" w:hAnsi="Arial" w:cs="Arial"/>
                      <w:sz w:val="20"/>
                      <w:lang w:val="en-ZA"/>
                    </w:rPr>
                    <w:t>General workers</w:t>
                  </w:r>
                </w:p>
              </w:tc>
              <w:tc>
                <w:tcPr>
                  <w:tcW w:w="2778" w:type="dxa"/>
                  <w:shd w:val="clear" w:color="auto" w:fill="auto"/>
                </w:tcPr>
                <w:p w14:paraId="2CB99527" w14:textId="77777777" w:rsidR="00077297" w:rsidRPr="005B68AE" w:rsidRDefault="00077297" w:rsidP="00077297">
                  <w:pPr>
                    <w:jc w:val="both"/>
                    <w:rPr>
                      <w:rFonts w:ascii="Arial" w:hAnsi="Arial" w:cs="Arial"/>
                      <w:sz w:val="20"/>
                      <w:lang w:val="en-ZA"/>
                    </w:rPr>
                  </w:pPr>
                  <w:r w:rsidRPr="005B68AE">
                    <w:rPr>
                      <w:rFonts w:ascii="Arial" w:hAnsi="Arial" w:cs="Arial"/>
                      <w:sz w:val="20"/>
                      <w:lang w:val="en-ZA"/>
                    </w:rPr>
                    <w:t>100%</w:t>
                  </w:r>
                </w:p>
              </w:tc>
              <w:tc>
                <w:tcPr>
                  <w:tcW w:w="2298" w:type="dxa"/>
                  <w:shd w:val="clear" w:color="auto" w:fill="auto"/>
                </w:tcPr>
                <w:p w14:paraId="669BD447" w14:textId="77777777" w:rsidR="00077297" w:rsidRPr="005B68AE" w:rsidRDefault="00077297" w:rsidP="00077297">
                  <w:pPr>
                    <w:jc w:val="both"/>
                    <w:rPr>
                      <w:rFonts w:ascii="Arial" w:hAnsi="Arial" w:cs="Arial"/>
                      <w:sz w:val="20"/>
                      <w:lang w:val="en-ZA"/>
                    </w:rPr>
                  </w:pPr>
                </w:p>
              </w:tc>
            </w:tr>
            <w:tr w:rsidR="00077297" w:rsidRPr="005B68AE" w14:paraId="0A2CAF91" w14:textId="77777777" w:rsidTr="00077297">
              <w:tc>
                <w:tcPr>
                  <w:tcW w:w="2579" w:type="dxa"/>
                  <w:shd w:val="clear" w:color="auto" w:fill="auto"/>
                </w:tcPr>
                <w:p w14:paraId="3C20BB96" w14:textId="77777777" w:rsidR="00077297" w:rsidRPr="005B68AE" w:rsidRDefault="00077297" w:rsidP="00077297">
                  <w:pPr>
                    <w:jc w:val="both"/>
                    <w:rPr>
                      <w:rFonts w:ascii="Arial" w:hAnsi="Arial" w:cs="Arial"/>
                      <w:sz w:val="20"/>
                      <w:lang w:val="en-ZA"/>
                    </w:rPr>
                  </w:pPr>
                  <w:r w:rsidRPr="005B68AE">
                    <w:rPr>
                      <w:rFonts w:ascii="Arial" w:hAnsi="Arial" w:cs="Arial"/>
                      <w:sz w:val="20"/>
                      <w:lang w:val="en-ZA"/>
                    </w:rPr>
                    <w:t>Semi-skilled</w:t>
                  </w:r>
                </w:p>
              </w:tc>
              <w:tc>
                <w:tcPr>
                  <w:tcW w:w="2778" w:type="dxa"/>
                  <w:shd w:val="clear" w:color="auto" w:fill="auto"/>
                </w:tcPr>
                <w:p w14:paraId="4EC93E17" w14:textId="77777777" w:rsidR="00077297" w:rsidRPr="005B68AE" w:rsidRDefault="00077297" w:rsidP="00077297">
                  <w:pPr>
                    <w:jc w:val="both"/>
                    <w:rPr>
                      <w:rFonts w:ascii="Arial" w:hAnsi="Arial" w:cs="Arial"/>
                      <w:sz w:val="20"/>
                      <w:lang w:val="en-ZA"/>
                    </w:rPr>
                  </w:pPr>
                  <w:r>
                    <w:rPr>
                      <w:rFonts w:ascii="Arial" w:hAnsi="Arial" w:cs="Arial"/>
                      <w:sz w:val="20"/>
                      <w:lang w:val="en-ZA"/>
                    </w:rPr>
                    <w:t>1</w:t>
                  </w:r>
                  <w:r w:rsidRPr="005B68AE">
                    <w:rPr>
                      <w:rFonts w:ascii="Arial" w:hAnsi="Arial" w:cs="Arial"/>
                      <w:sz w:val="20"/>
                      <w:lang w:val="en-ZA"/>
                    </w:rPr>
                    <w:t>0%</w:t>
                  </w:r>
                </w:p>
              </w:tc>
              <w:tc>
                <w:tcPr>
                  <w:tcW w:w="2298" w:type="dxa"/>
                  <w:shd w:val="clear" w:color="auto" w:fill="auto"/>
                </w:tcPr>
                <w:p w14:paraId="195FC59C" w14:textId="77777777" w:rsidR="00077297" w:rsidRPr="005B68AE" w:rsidRDefault="00077297" w:rsidP="00077297">
                  <w:pPr>
                    <w:jc w:val="both"/>
                    <w:rPr>
                      <w:rFonts w:ascii="Arial" w:hAnsi="Arial" w:cs="Arial"/>
                      <w:sz w:val="20"/>
                      <w:lang w:val="en-ZA"/>
                    </w:rPr>
                  </w:pPr>
                </w:p>
              </w:tc>
            </w:tr>
          </w:tbl>
          <w:p w14:paraId="7DE9D00D" w14:textId="77777777" w:rsidR="00077297" w:rsidRDefault="00077297" w:rsidP="007E0CE5">
            <w:pPr>
              <w:tabs>
                <w:tab w:val="left" w:pos="720"/>
              </w:tabs>
              <w:spacing w:line="276" w:lineRule="auto"/>
              <w:ind w:left="360"/>
              <w:jc w:val="both"/>
              <w:rPr>
                <w:rFonts w:ascii="Arial" w:hAnsi="Arial" w:cs="Arial"/>
                <w:b/>
                <w:sz w:val="20"/>
                <w:lang w:val="en-ZA"/>
              </w:rPr>
            </w:pPr>
          </w:p>
          <w:p w14:paraId="550374C5" w14:textId="636D9702" w:rsidR="006E4F88" w:rsidRPr="006E4F88" w:rsidRDefault="006E4F88" w:rsidP="00D479A6">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r w:rsidR="00E73DB1">
              <w:rPr>
                <w:rFonts w:ascii="Arial" w:hAnsi="Arial" w:cs="Arial"/>
                <w:b/>
                <w:sz w:val="20"/>
                <w:lang w:val="en-ZA"/>
              </w:rPr>
              <w:t xml:space="preserve"> </w:t>
            </w:r>
          </w:p>
          <w:p w14:paraId="00A39937" w14:textId="6478D8DB" w:rsidR="00506A41" w:rsidRDefault="00506A41" w:rsidP="00737B23">
            <w:pPr>
              <w:tabs>
                <w:tab w:val="left" w:pos="720"/>
              </w:tabs>
              <w:jc w:val="both"/>
              <w:rPr>
                <w:rFonts w:ascii="Arial" w:hAnsi="Arial" w:cs="Arial"/>
                <w:sz w:val="20"/>
              </w:rPr>
            </w:pPr>
          </w:p>
          <w:p w14:paraId="1FC0997E" w14:textId="12FFFC17" w:rsidR="00CD3DA2" w:rsidRDefault="00CD3DA2" w:rsidP="00CD3DA2">
            <w:pPr>
              <w:spacing w:line="360" w:lineRule="auto"/>
              <w:jc w:val="both"/>
              <w:rPr>
                <w:rFonts w:ascii="Arial" w:hAnsi="Arial" w:cs="Arial"/>
                <w:sz w:val="20"/>
                <w:lang w:val="en-ZA"/>
              </w:rPr>
            </w:pPr>
            <w:r>
              <w:rPr>
                <w:rFonts w:ascii="Arial" w:hAnsi="Arial" w:cs="Arial"/>
                <w:sz w:val="20"/>
              </w:rPr>
              <w:t xml:space="preserve">Tenderers are required to submit proposals for the </w:t>
            </w:r>
            <w:proofErr w:type="gramStart"/>
            <w:r>
              <w:rPr>
                <w:rFonts w:ascii="Arial" w:hAnsi="Arial" w:cs="Arial"/>
                <w:sz w:val="20"/>
              </w:rPr>
              <w:t>skills</w:t>
            </w:r>
            <w:proofErr w:type="gramEnd"/>
            <w:r>
              <w:rPr>
                <w:rFonts w:ascii="Arial" w:hAnsi="Arial" w:cs="Arial"/>
                <w:sz w:val="20"/>
              </w:rPr>
              <w:t xml:space="preserve"> types / occupations and the number of candidates to be developed. The candidates shall be currently unemployed graduates from school, Universities and technical, vocational, education and training (TVET) campuses. The threshold will be as follows to ensure successful implementation of this initiative:</w:t>
            </w:r>
          </w:p>
          <w:p w14:paraId="3ACD2DFF" w14:textId="77777777" w:rsidR="00CD3DA2" w:rsidRDefault="00CD3DA2" w:rsidP="00CD3DA2">
            <w:pPr>
              <w:spacing w:line="360" w:lineRule="auto"/>
              <w:jc w:val="both"/>
              <w:rPr>
                <w:rFonts w:ascii="Arial" w:hAnsi="Arial" w:cs="Arial"/>
                <w:sz w:val="20"/>
              </w:rPr>
            </w:pPr>
          </w:p>
          <w:p w14:paraId="6640EC7A" w14:textId="65930C71" w:rsidR="00CC1FF4" w:rsidRPr="00A52D45" w:rsidRDefault="00CD3DA2" w:rsidP="00CD3DA2">
            <w:pPr>
              <w:numPr>
                <w:ilvl w:val="0"/>
                <w:numId w:val="41"/>
              </w:numPr>
              <w:spacing w:line="360" w:lineRule="auto"/>
              <w:jc w:val="both"/>
              <w:rPr>
                <w:rFonts w:ascii="Arial" w:hAnsi="Arial" w:cs="Arial"/>
                <w:sz w:val="20"/>
                <w:lang w:val="en-ZA"/>
              </w:rPr>
            </w:pPr>
            <w:r>
              <w:rPr>
                <w:rFonts w:ascii="Arial" w:hAnsi="Arial" w:cs="Arial"/>
                <w:sz w:val="20"/>
              </w:rPr>
              <w:t xml:space="preserve">Successful tenderer will be obligated to </w:t>
            </w:r>
            <w:r>
              <w:rPr>
                <w:rFonts w:ascii="Arial" w:hAnsi="Arial" w:cs="Arial"/>
                <w:b/>
                <w:bCs/>
                <w:sz w:val="20"/>
              </w:rPr>
              <w:t>skill one</w:t>
            </w:r>
            <w:r>
              <w:rPr>
                <w:rFonts w:ascii="Arial" w:hAnsi="Arial" w:cs="Arial"/>
                <w:sz w:val="20"/>
              </w:rPr>
              <w:t xml:space="preserve"> candidate for every </w:t>
            </w:r>
            <w:r>
              <w:rPr>
                <w:rFonts w:ascii="Arial" w:hAnsi="Arial" w:cs="Arial"/>
                <w:b/>
                <w:bCs/>
                <w:sz w:val="20"/>
              </w:rPr>
              <w:t>R</w:t>
            </w:r>
            <w:r w:rsidR="00245711">
              <w:rPr>
                <w:rFonts w:ascii="Arial" w:hAnsi="Arial" w:cs="Arial"/>
                <w:b/>
                <w:bCs/>
                <w:sz w:val="20"/>
              </w:rPr>
              <w:t xml:space="preserve"> </w:t>
            </w:r>
            <w:r w:rsidR="00483391">
              <w:rPr>
                <w:rFonts w:ascii="Arial" w:hAnsi="Arial" w:cs="Arial"/>
                <w:b/>
                <w:bCs/>
                <w:sz w:val="20"/>
              </w:rPr>
              <w:t>2</w:t>
            </w:r>
          </w:p>
          <w:p w14:paraId="6C6A6474" w14:textId="5D052A16" w:rsidR="00CD3DA2" w:rsidRDefault="00CD3DA2" w:rsidP="00CD3DA2">
            <w:pPr>
              <w:numPr>
                <w:ilvl w:val="0"/>
                <w:numId w:val="41"/>
              </w:numPr>
              <w:spacing w:line="360" w:lineRule="auto"/>
              <w:jc w:val="both"/>
              <w:rPr>
                <w:rFonts w:ascii="Arial" w:hAnsi="Arial" w:cs="Arial"/>
                <w:sz w:val="20"/>
                <w:lang w:val="en-ZA"/>
              </w:rPr>
            </w:pPr>
            <w:r>
              <w:rPr>
                <w:rFonts w:ascii="Arial" w:hAnsi="Arial" w:cs="Arial"/>
                <w:b/>
                <w:bCs/>
                <w:sz w:val="20"/>
              </w:rPr>
              <w:lastRenderedPageBreak/>
              <w:t> Million</w:t>
            </w:r>
            <w:r>
              <w:rPr>
                <w:rFonts w:ascii="Arial" w:hAnsi="Arial" w:cs="Arial"/>
                <w:sz w:val="20"/>
              </w:rPr>
              <w:t xml:space="preserve"> </w:t>
            </w:r>
            <w:r w:rsidR="007405EA">
              <w:rPr>
                <w:rFonts w:ascii="Arial" w:hAnsi="Arial" w:cs="Arial"/>
                <w:sz w:val="20"/>
              </w:rPr>
              <w:t xml:space="preserve">received </w:t>
            </w:r>
            <w:proofErr w:type="gramStart"/>
            <w:r>
              <w:rPr>
                <w:rFonts w:ascii="Arial" w:hAnsi="Arial" w:cs="Arial"/>
                <w:sz w:val="20"/>
              </w:rPr>
              <w:t>cumulatively ;</w:t>
            </w:r>
            <w:proofErr w:type="gramEnd"/>
            <w:r>
              <w:rPr>
                <w:rFonts w:ascii="Arial" w:hAnsi="Arial" w:cs="Arial"/>
                <w:sz w:val="20"/>
              </w:rPr>
              <w:t xml:space="preserve"> The supplier will be required to implement this requirement a month after the threshold is reached. </w:t>
            </w:r>
          </w:p>
          <w:p w14:paraId="489CA7A8" w14:textId="0462C5C3" w:rsidR="00CD3DA2" w:rsidRDefault="00CD3DA2" w:rsidP="00CD3DA2">
            <w:pPr>
              <w:numPr>
                <w:ilvl w:val="0"/>
                <w:numId w:val="41"/>
              </w:numPr>
              <w:spacing w:line="360" w:lineRule="auto"/>
              <w:jc w:val="both"/>
              <w:rPr>
                <w:rFonts w:ascii="Arial" w:hAnsi="Arial" w:cs="Arial"/>
                <w:sz w:val="20"/>
              </w:rPr>
            </w:pPr>
            <w:r>
              <w:rPr>
                <w:rFonts w:ascii="Arial" w:hAnsi="Arial" w:cs="Arial"/>
                <w:sz w:val="20"/>
              </w:rPr>
              <w:t xml:space="preserve">This obligation will be for the duration of the contract; </w:t>
            </w:r>
            <w:r w:rsidR="002C0D29">
              <w:rPr>
                <w:rFonts w:ascii="Arial" w:hAnsi="Arial" w:cs="Arial"/>
                <w:sz w:val="20"/>
              </w:rPr>
              <w:t>however,</w:t>
            </w:r>
            <w:r>
              <w:rPr>
                <w:rFonts w:ascii="Arial" w:hAnsi="Arial" w:cs="Arial"/>
                <w:sz w:val="20"/>
              </w:rPr>
              <w:t xml:space="preserve"> the supplier needs to demonstrate positive progress </w:t>
            </w:r>
            <w:proofErr w:type="gramStart"/>
            <w:r>
              <w:rPr>
                <w:rFonts w:ascii="Arial" w:hAnsi="Arial" w:cs="Arial"/>
                <w:sz w:val="20"/>
              </w:rPr>
              <w:t>on a monthly basis</w:t>
            </w:r>
            <w:proofErr w:type="gramEnd"/>
            <w:r>
              <w:rPr>
                <w:rFonts w:ascii="Arial" w:hAnsi="Arial" w:cs="Arial"/>
                <w:sz w:val="20"/>
              </w:rPr>
              <w:t>.</w:t>
            </w:r>
          </w:p>
          <w:p w14:paraId="3CD8B910" w14:textId="77777777" w:rsidR="00CD3DA2" w:rsidRDefault="00CD3DA2" w:rsidP="00CD3DA2">
            <w:pPr>
              <w:jc w:val="both"/>
              <w:rPr>
                <w:rFonts w:ascii="Arial" w:hAnsi="Arial" w:cs="Arial"/>
                <w:b/>
                <w:bCs/>
                <w:sz w:val="20"/>
                <w:u w:val="single"/>
              </w:rPr>
            </w:pPr>
          </w:p>
          <w:p w14:paraId="61407D44" w14:textId="77777777" w:rsidR="00CD3DA2" w:rsidRDefault="00CD3DA2" w:rsidP="00CD3DA2">
            <w:pPr>
              <w:jc w:val="both"/>
              <w:rPr>
                <w:rFonts w:ascii="Arial" w:hAnsi="Arial" w:cs="Arial"/>
                <w:b/>
                <w:bCs/>
                <w:sz w:val="20"/>
                <w:u w:val="single"/>
              </w:rPr>
            </w:pPr>
          </w:p>
          <w:tbl>
            <w:tblPr>
              <w:tblpPr w:leftFromText="180" w:rightFromText="180" w:bottomFromText="155" w:vertAnchor="text"/>
              <w:tblW w:w="0" w:type="auto"/>
              <w:tblCellMar>
                <w:left w:w="0" w:type="dxa"/>
                <w:right w:w="0" w:type="dxa"/>
              </w:tblCellMar>
              <w:tblLook w:val="04A0" w:firstRow="1" w:lastRow="0" w:firstColumn="1" w:lastColumn="0" w:noHBand="0" w:noVBand="1"/>
            </w:tblPr>
            <w:tblGrid>
              <w:gridCol w:w="3671"/>
              <w:gridCol w:w="2785"/>
            </w:tblGrid>
            <w:tr w:rsidR="00CD3DA2" w14:paraId="0C7F0230" w14:textId="77777777">
              <w:trPr>
                <w:divId w:val="1220365142"/>
                <w:trHeight w:val="193"/>
              </w:trPr>
              <w:tc>
                <w:tcPr>
                  <w:tcW w:w="3671"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02128D79" w14:textId="77777777" w:rsidR="00CD3DA2" w:rsidRDefault="00CD3DA2" w:rsidP="00CD3DA2">
                  <w:pPr>
                    <w:spacing w:line="276" w:lineRule="auto"/>
                    <w:jc w:val="center"/>
                    <w:rPr>
                      <w:rFonts w:ascii="Arial" w:hAnsi="Arial" w:cs="Arial"/>
                      <w:b/>
                      <w:bCs/>
                      <w:sz w:val="20"/>
                    </w:rPr>
                  </w:pPr>
                  <w:r>
                    <w:rPr>
                      <w:rFonts w:ascii="Arial" w:hAnsi="Arial" w:cs="Arial"/>
                      <w:b/>
                      <w:bCs/>
                      <w:color w:val="000000"/>
                      <w:sz w:val="20"/>
                    </w:rPr>
                    <w:t>Type of skill / Occupations</w:t>
                  </w:r>
                </w:p>
              </w:tc>
              <w:tc>
                <w:tcPr>
                  <w:tcW w:w="278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CCA006C" w14:textId="77777777" w:rsidR="00CD3DA2" w:rsidRDefault="00CD3DA2" w:rsidP="00CD3DA2">
                  <w:pPr>
                    <w:spacing w:line="276" w:lineRule="auto"/>
                    <w:jc w:val="both"/>
                    <w:rPr>
                      <w:rFonts w:ascii="Arial" w:hAnsi="Arial" w:cs="Arial"/>
                      <w:b/>
                      <w:bCs/>
                      <w:sz w:val="20"/>
                    </w:rPr>
                  </w:pPr>
                  <w:r>
                    <w:rPr>
                      <w:rFonts w:ascii="Arial" w:hAnsi="Arial" w:cs="Arial"/>
                      <w:b/>
                      <w:bCs/>
                      <w:color w:val="000000"/>
                      <w:sz w:val="20"/>
                    </w:rPr>
                    <w:t>Number of candidates</w:t>
                  </w:r>
                </w:p>
              </w:tc>
            </w:tr>
            <w:tr w:rsidR="00CD3DA2" w14:paraId="416C6AC0" w14:textId="77777777">
              <w:trPr>
                <w:divId w:val="1220365142"/>
                <w:trHeight w:val="399"/>
              </w:trPr>
              <w:tc>
                <w:tcPr>
                  <w:tcW w:w="367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tcPr>
                <w:p w14:paraId="7F839279" w14:textId="3C0F9E14" w:rsidR="00CD3DA2" w:rsidRDefault="00483391" w:rsidP="00CD3DA2">
                  <w:pPr>
                    <w:spacing w:line="360" w:lineRule="auto"/>
                    <w:jc w:val="both"/>
                    <w:rPr>
                      <w:rFonts w:ascii="Arial" w:hAnsi="Arial" w:cs="Arial"/>
                      <w:sz w:val="20"/>
                    </w:rPr>
                  </w:pPr>
                  <w:r>
                    <w:rPr>
                      <w:rFonts w:ascii="Arial" w:hAnsi="Arial" w:cs="Arial"/>
                      <w:sz w:val="20"/>
                    </w:rPr>
                    <w:t xml:space="preserve">Artisan (1x </w:t>
                  </w:r>
                  <w:r w:rsidR="00077297">
                    <w:rPr>
                      <w:rFonts w:ascii="Arial" w:hAnsi="Arial" w:cs="Arial"/>
                      <w:sz w:val="20"/>
                    </w:rPr>
                    <w:t>R</w:t>
                  </w:r>
                  <w:r>
                    <w:rPr>
                      <w:rFonts w:ascii="Arial" w:hAnsi="Arial" w:cs="Arial"/>
                      <w:sz w:val="20"/>
                    </w:rPr>
                    <w:t>2m spent)</w:t>
                  </w:r>
                  <w:r w:rsidR="00A436DF">
                    <w:rPr>
                      <w:rFonts w:ascii="Arial" w:hAnsi="Arial" w:cs="Arial"/>
                      <w:sz w:val="20"/>
                    </w:rPr>
                    <w:t xml:space="preserve"> </w:t>
                  </w:r>
                </w:p>
              </w:tc>
              <w:tc>
                <w:tcPr>
                  <w:tcW w:w="2785" w:type="dxa"/>
                  <w:tcBorders>
                    <w:top w:val="nil"/>
                    <w:left w:val="nil"/>
                    <w:bottom w:val="single" w:sz="8" w:space="0" w:color="auto"/>
                    <w:right w:val="single" w:sz="8" w:space="0" w:color="auto"/>
                  </w:tcBorders>
                  <w:tcMar>
                    <w:top w:w="0" w:type="dxa"/>
                    <w:left w:w="108" w:type="dxa"/>
                    <w:bottom w:w="0" w:type="dxa"/>
                    <w:right w:w="108" w:type="dxa"/>
                  </w:tcMar>
                </w:tcPr>
                <w:p w14:paraId="75971E25" w14:textId="77777777" w:rsidR="00CD3DA2" w:rsidRDefault="00CD3DA2" w:rsidP="00CD3DA2">
                  <w:pPr>
                    <w:spacing w:line="276" w:lineRule="auto"/>
                    <w:jc w:val="center"/>
                    <w:rPr>
                      <w:rFonts w:ascii="Arial" w:hAnsi="Arial" w:cs="Arial"/>
                      <w:sz w:val="20"/>
                    </w:rPr>
                  </w:pPr>
                </w:p>
              </w:tc>
            </w:tr>
          </w:tbl>
          <w:p w14:paraId="77482495" w14:textId="77777777" w:rsidR="00CD3DA2" w:rsidRDefault="00CD3DA2" w:rsidP="00CD3DA2">
            <w:pPr>
              <w:jc w:val="both"/>
              <w:rPr>
                <w:rFonts w:ascii="Arial" w:eastAsiaTheme="minorHAnsi" w:hAnsi="Arial" w:cs="Arial"/>
                <w:sz w:val="20"/>
              </w:rPr>
            </w:pPr>
          </w:p>
          <w:p w14:paraId="25B06A5B" w14:textId="77777777" w:rsidR="00CD3DA2" w:rsidRDefault="00CD3DA2" w:rsidP="00CD3DA2">
            <w:pPr>
              <w:spacing w:line="360" w:lineRule="auto"/>
              <w:jc w:val="both"/>
              <w:rPr>
                <w:rFonts w:ascii="Arial" w:hAnsi="Arial" w:cs="Arial"/>
                <w:sz w:val="20"/>
                <w:lang w:val="en-ZA"/>
              </w:rPr>
            </w:pPr>
          </w:p>
          <w:p w14:paraId="7BECF335" w14:textId="77777777" w:rsidR="00CD3DA2" w:rsidRDefault="00CD3DA2" w:rsidP="00CD3DA2">
            <w:pPr>
              <w:jc w:val="both"/>
              <w:rPr>
                <w:rFonts w:ascii="Arial" w:hAnsi="Arial" w:cs="Arial"/>
                <w:b/>
                <w:bCs/>
                <w:sz w:val="22"/>
                <w:szCs w:val="22"/>
                <w:u w:val="single"/>
              </w:rPr>
            </w:pPr>
          </w:p>
          <w:p w14:paraId="4C3B2367" w14:textId="77777777" w:rsidR="00CD3DA2" w:rsidRDefault="00CD3DA2" w:rsidP="00CD3DA2">
            <w:pPr>
              <w:jc w:val="both"/>
              <w:rPr>
                <w:rFonts w:ascii="Arial" w:hAnsi="Arial" w:cs="Arial"/>
                <w:b/>
                <w:bCs/>
                <w:u w:val="single"/>
              </w:rPr>
            </w:pPr>
          </w:p>
          <w:p w14:paraId="13C9F6AB" w14:textId="4497BE2A" w:rsidR="00CD3DA2" w:rsidRDefault="00CD3DA2" w:rsidP="00CD3DA2">
            <w:pPr>
              <w:spacing w:line="360" w:lineRule="auto"/>
              <w:ind w:left="360"/>
              <w:contextualSpacing/>
              <w:jc w:val="both"/>
              <w:rPr>
                <w:rFonts w:ascii="Arial" w:hAnsi="Arial" w:cs="Arial"/>
                <w:sz w:val="20"/>
                <w:lang w:val="en-ZA"/>
              </w:rPr>
            </w:pPr>
            <w:r>
              <w:rPr>
                <w:rFonts w:ascii="Arial" w:hAnsi="Arial" w:cs="Arial"/>
                <w:sz w:val="20"/>
              </w:rPr>
              <w:t>The process of developing these skills shall involve the participation by tenderers directly and through their supply network.  In certain cases, the SETAs accredited training providers can be approached to participate in developing critical and scarce skills.</w:t>
            </w:r>
          </w:p>
          <w:p w14:paraId="4608C634" w14:textId="77777777" w:rsidR="00CD3DA2" w:rsidRDefault="00CD3DA2" w:rsidP="00CD3DA2">
            <w:pPr>
              <w:spacing w:line="360" w:lineRule="auto"/>
              <w:ind w:left="360"/>
              <w:contextualSpacing/>
              <w:jc w:val="both"/>
              <w:rPr>
                <w:rFonts w:ascii="Arial" w:hAnsi="Arial" w:cs="Arial"/>
                <w:sz w:val="20"/>
              </w:rPr>
            </w:pPr>
          </w:p>
          <w:p w14:paraId="59A888B0" w14:textId="77777777" w:rsidR="00CD3DA2" w:rsidRDefault="00CD3DA2" w:rsidP="00CD3DA2">
            <w:pPr>
              <w:spacing w:line="360" w:lineRule="auto"/>
              <w:ind w:left="360"/>
              <w:contextualSpacing/>
              <w:jc w:val="both"/>
              <w:rPr>
                <w:rFonts w:ascii="Arial" w:hAnsi="Arial" w:cs="Arial"/>
                <w:sz w:val="20"/>
              </w:rPr>
            </w:pPr>
            <w:r>
              <w:rPr>
                <w:rFonts w:ascii="Arial" w:hAnsi="Arial" w:cs="Arial"/>
                <w:sz w:val="20"/>
              </w:rPr>
              <w:t>Skills development of candidates must represent the demographics of the country, South Africa.</w:t>
            </w:r>
          </w:p>
          <w:p w14:paraId="3190B2F0" w14:textId="77777777" w:rsidR="00CD3DA2" w:rsidRDefault="00CD3DA2" w:rsidP="00CD3DA2">
            <w:pPr>
              <w:spacing w:line="360" w:lineRule="auto"/>
              <w:ind w:left="360"/>
              <w:contextualSpacing/>
              <w:jc w:val="both"/>
              <w:rPr>
                <w:rFonts w:ascii="Arial" w:hAnsi="Arial" w:cs="Arial"/>
                <w:sz w:val="20"/>
              </w:rPr>
            </w:pPr>
          </w:p>
          <w:p w14:paraId="172D635A" w14:textId="3C9D8E3E" w:rsidR="00CD3DA2" w:rsidRDefault="00CD3DA2" w:rsidP="00CD3DA2">
            <w:pPr>
              <w:rPr>
                <w:rFonts w:ascii="Arial" w:hAnsi="Arial" w:cs="Arial"/>
                <w:sz w:val="20"/>
              </w:rPr>
            </w:pPr>
            <w:r>
              <w:rPr>
                <w:rFonts w:ascii="Arial" w:hAnsi="Arial" w:cs="Arial"/>
                <w:b/>
                <w:bCs/>
                <w:sz w:val="20"/>
                <w:u w:val="single"/>
              </w:rPr>
              <w:t>Note</w:t>
            </w:r>
            <w:r>
              <w:rPr>
                <w:rFonts w:ascii="Arial" w:hAnsi="Arial" w:cs="Arial"/>
                <w:sz w:val="20"/>
              </w:rPr>
              <w:t>: that these targets for skills development candidates categorically exclude Eskom employees and registered learners. The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0B2428B9" w14:textId="77777777" w:rsidR="00CD3DA2" w:rsidRDefault="00CD3DA2" w:rsidP="00737B23">
            <w:pPr>
              <w:tabs>
                <w:tab w:val="left" w:pos="720"/>
              </w:tabs>
              <w:jc w:val="both"/>
              <w:rPr>
                <w:rFonts w:ascii="Arial" w:hAnsi="Arial" w:cs="Arial"/>
                <w:sz w:val="20"/>
              </w:rPr>
            </w:pPr>
          </w:p>
          <w:p w14:paraId="450A9DFE" w14:textId="77777777" w:rsidR="00AF6824" w:rsidRPr="000C5130" w:rsidRDefault="00AF6824" w:rsidP="00CD3DA2">
            <w:pPr>
              <w:spacing w:after="200" w:line="360" w:lineRule="auto"/>
              <w:ind w:left="360"/>
              <w:contextualSpacing/>
              <w:jc w:val="both"/>
              <w:rPr>
                <w:rFonts w:ascii="Arial" w:hAnsi="Arial" w:cs="Arial"/>
                <w:sz w:val="20"/>
              </w:rPr>
            </w:pPr>
          </w:p>
        </w:tc>
      </w:tr>
    </w:tbl>
    <w:p w14:paraId="36A1F2B4" w14:textId="77777777" w:rsidR="00A346F0" w:rsidRDefault="00A346F0" w:rsidP="00EB6A30">
      <w:pPr>
        <w:spacing w:after="120" w:line="276" w:lineRule="auto"/>
        <w:rPr>
          <w:rFonts w:ascii="Arial" w:hAnsi="Arial" w:cs="Arial"/>
          <w:b/>
          <w:sz w:val="22"/>
        </w:rPr>
      </w:pPr>
    </w:p>
    <w:p w14:paraId="7DE8B5F5" w14:textId="2A2C85E2"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044600">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w:t>
      </w:r>
      <w:r w:rsidR="002C0D29">
        <w:rPr>
          <w:rFonts w:ascii="Arial" w:hAnsi="Arial" w:cs="Arial"/>
          <w:b/>
          <w:sz w:val="22"/>
        </w:rPr>
        <w:t>Retention</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129C8FE2" w14:textId="77777777" w:rsidTr="00987ACB">
        <w:tc>
          <w:tcPr>
            <w:tcW w:w="9050" w:type="dxa"/>
            <w:shd w:val="clear" w:color="auto" w:fill="000000"/>
          </w:tcPr>
          <w:p w14:paraId="63997EA6" w14:textId="64076606"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w:t>
            </w:r>
            <w:r w:rsidR="00377F75">
              <w:rPr>
                <w:rFonts w:ascii="Arial" w:hAnsi="Arial" w:cs="Arial"/>
                <w:sz w:val="20"/>
                <w:szCs w:val="22"/>
                <w:lang w:val="en-ZA"/>
              </w:rPr>
              <w:t>retention</w:t>
            </w:r>
            <w:r w:rsidRPr="00733FE1">
              <w:rPr>
                <w:rFonts w:ascii="Arial" w:hAnsi="Arial" w:cs="Arial"/>
                <w:sz w:val="20"/>
                <w:szCs w:val="22"/>
                <w:lang w:val="en-ZA"/>
              </w:rPr>
              <w:t xml:space="preserve"> of </w:t>
            </w:r>
            <w:r w:rsidR="00377F75">
              <w:rPr>
                <w:rFonts w:ascii="Arial" w:hAnsi="Arial" w:cs="Arial"/>
                <w:sz w:val="20"/>
                <w:szCs w:val="22"/>
                <w:lang w:val="en-ZA"/>
              </w:rPr>
              <w:t>1</w:t>
            </w:r>
            <w:r w:rsidRPr="00733FE1">
              <w:rPr>
                <w:rFonts w:ascii="Arial" w:hAnsi="Arial" w:cs="Arial"/>
                <w:sz w:val="20"/>
                <w:szCs w:val="22"/>
                <w:lang w:val="en-ZA"/>
              </w:rPr>
              <w:t xml:space="preserve">.5%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06716EE8" w14:textId="77777777" w:rsidTr="00DF46B0">
        <w:trPr>
          <w:trHeight w:val="723"/>
        </w:trPr>
        <w:tc>
          <w:tcPr>
            <w:tcW w:w="9050" w:type="dxa"/>
            <w:shd w:val="clear" w:color="auto" w:fill="auto"/>
          </w:tcPr>
          <w:p w14:paraId="1B4881F5" w14:textId="77777777" w:rsidR="00EF4E0F" w:rsidRDefault="00EF4E0F" w:rsidP="00AF6824">
            <w:pPr>
              <w:spacing w:line="360" w:lineRule="auto"/>
              <w:contextualSpacing/>
              <w:jc w:val="both"/>
              <w:rPr>
                <w:rFonts w:ascii="Arial" w:eastAsia="Calibri" w:hAnsi="Arial" w:cs="Arial"/>
                <w:sz w:val="20"/>
                <w:szCs w:val="22"/>
                <w:lang w:val="en-ZA"/>
              </w:rPr>
            </w:pPr>
          </w:p>
          <w:p w14:paraId="47AE57F7" w14:textId="06385C45" w:rsidR="00EF4E0F" w:rsidRPr="00602047" w:rsidRDefault="000B7D6D" w:rsidP="00AF6824">
            <w:pPr>
              <w:spacing w:line="360" w:lineRule="auto"/>
              <w:contextualSpacing/>
              <w:jc w:val="both"/>
              <w:rPr>
                <w:rFonts w:ascii="Arial" w:eastAsia="Calibri" w:hAnsi="Arial" w:cs="Arial"/>
                <w:sz w:val="20"/>
                <w:szCs w:val="22"/>
                <w:lang w:val="en-ZA"/>
              </w:rPr>
            </w:pPr>
            <w:r w:rsidRPr="000B7D6D">
              <w:rPr>
                <w:rFonts w:ascii="Arial" w:eastAsia="Calibri" w:hAnsi="Arial" w:cs="Arial"/>
                <w:sz w:val="20"/>
                <w:szCs w:val="22"/>
                <w:lang w:val="en-ZA"/>
              </w:rPr>
              <w:t xml:space="preserve">As security for the fulfilment of all SDL&amp;I obligations, Eskom will apply a </w:t>
            </w:r>
            <w:r w:rsidR="002C0D29">
              <w:rPr>
                <w:rFonts w:ascii="Arial" w:eastAsia="Calibri" w:hAnsi="Arial" w:cs="Arial"/>
                <w:sz w:val="20"/>
                <w:szCs w:val="22"/>
                <w:lang w:val="en-ZA"/>
              </w:rPr>
              <w:t>Retention</w:t>
            </w:r>
            <w:r w:rsidRPr="000B7D6D">
              <w:rPr>
                <w:rFonts w:ascii="Arial" w:eastAsia="Calibri" w:hAnsi="Arial" w:cs="Arial"/>
                <w:sz w:val="20"/>
                <w:szCs w:val="22"/>
                <w:lang w:val="en-ZA"/>
              </w:rPr>
              <w:t xml:space="preserve"> of </w:t>
            </w:r>
            <w:r w:rsidR="00905ED2">
              <w:rPr>
                <w:rFonts w:ascii="Arial" w:eastAsia="Calibri" w:hAnsi="Arial" w:cs="Arial"/>
                <w:sz w:val="20"/>
                <w:szCs w:val="22"/>
                <w:lang w:val="en-ZA"/>
              </w:rPr>
              <w:t>1</w:t>
            </w:r>
            <w:r w:rsidR="002C0D29">
              <w:rPr>
                <w:rFonts w:ascii="Arial" w:eastAsia="Calibri" w:hAnsi="Arial" w:cs="Arial"/>
                <w:sz w:val="20"/>
                <w:szCs w:val="22"/>
                <w:lang w:val="en-ZA"/>
              </w:rPr>
              <w:t>.5</w:t>
            </w:r>
            <w:r w:rsidRPr="000B7D6D">
              <w:rPr>
                <w:rFonts w:ascii="Arial" w:eastAsia="Calibri" w:hAnsi="Arial" w:cs="Arial"/>
                <w:sz w:val="20"/>
                <w:szCs w:val="22"/>
                <w:lang w:val="en-ZA"/>
              </w:rPr>
              <w:t xml:space="preserve">% of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a contract.</w:t>
            </w:r>
          </w:p>
        </w:tc>
      </w:tr>
    </w:tbl>
    <w:p w14:paraId="75439A93" w14:textId="0918EB33"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 xml:space="preserve">ction </w:t>
      </w:r>
      <w:r w:rsidR="00044600">
        <w:rPr>
          <w:rFonts w:ascii="Arial" w:hAnsi="Arial" w:cs="Arial"/>
          <w:b/>
          <w:sz w:val="22"/>
        </w:rPr>
        <w:t>5</w:t>
      </w:r>
      <w:r w:rsidR="00990864">
        <w:rPr>
          <w:rFonts w:ascii="Arial" w:hAnsi="Arial" w:cs="Arial"/>
          <w:b/>
          <w:sz w:val="22"/>
        </w:rPr>
        <w:t>: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0B14FC67" w14:textId="77777777" w:rsidTr="00987ACB">
        <w:tc>
          <w:tcPr>
            <w:tcW w:w="9050" w:type="dxa"/>
            <w:shd w:val="clear" w:color="auto" w:fill="000000"/>
          </w:tcPr>
          <w:p w14:paraId="3D8DFC4D" w14:textId="77777777" w:rsidR="00990864" w:rsidRPr="006260D8" w:rsidRDefault="00990864" w:rsidP="00987ACB">
            <w:pPr>
              <w:tabs>
                <w:tab w:val="left" w:pos="720"/>
              </w:tabs>
              <w:jc w:val="both"/>
              <w:rPr>
                <w:rFonts w:ascii="Arial" w:hAnsi="Arial" w:cs="Arial"/>
                <w:sz w:val="20"/>
              </w:rPr>
            </w:pPr>
          </w:p>
        </w:tc>
      </w:tr>
      <w:tr w:rsidR="00990864" w:rsidRPr="000C5130" w14:paraId="5256A0EC" w14:textId="77777777" w:rsidTr="00AB650A">
        <w:trPr>
          <w:trHeight w:val="2032"/>
        </w:trPr>
        <w:tc>
          <w:tcPr>
            <w:tcW w:w="9050" w:type="dxa"/>
            <w:shd w:val="clear" w:color="auto" w:fill="DDD9C3" w:themeFill="background2" w:themeFillShade="E6"/>
          </w:tcPr>
          <w:p w14:paraId="3F23BA82"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0" w:name="OLE_LINK6"/>
            <w:r w:rsidRPr="00EB6A30">
              <w:rPr>
                <w:rFonts w:ascii="Arial" w:eastAsia="Calibri" w:hAnsi="Arial" w:cs="Arial"/>
                <w:sz w:val="16"/>
                <w:szCs w:val="22"/>
                <w:lang w:val="en-GB"/>
              </w:rPr>
              <w:t>The suppliers shall on a monthly/quarterly basis submit a report to Eskom in accordance with Data Collection Template on their compliance with the SDL&amp;I obligations described above.</w:t>
            </w:r>
            <w:bookmarkEnd w:id="0"/>
          </w:p>
          <w:p w14:paraId="58B6E4D1"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7B750CB9"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54761D80" w14:textId="65F04822"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p>
        </w:tc>
      </w:tr>
    </w:tbl>
    <w:p w14:paraId="3B158F03" w14:textId="77777777" w:rsidR="00A121BE" w:rsidRDefault="00A121BE" w:rsidP="00304117">
      <w:pPr>
        <w:pBdr>
          <w:bottom w:val="single" w:sz="12" w:space="1" w:color="auto"/>
        </w:pBdr>
        <w:tabs>
          <w:tab w:val="left" w:pos="720"/>
        </w:tabs>
        <w:jc w:val="both"/>
        <w:rPr>
          <w:rFonts w:ascii="Arial" w:hAnsi="Arial" w:cs="Arial"/>
          <w:b/>
          <w:sz w:val="20"/>
        </w:rPr>
      </w:pPr>
    </w:p>
    <w:p w14:paraId="775CF2A6" w14:textId="69143E5D" w:rsidR="00B70E33" w:rsidRDefault="00B70E33" w:rsidP="00692B80">
      <w:pPr>
        <w:rPr>
          <w:rFonts w:ascii="Arial" w:hAnsi="Arial" w:cs="Arial"/>
          <w:sz w:val="20"/>
          <w:lang w:val="en-GB"/>
        </w:rPr>
      </w:pPr>
    </w:p>
    <w:p w14:paraId="48A9546B" w14:textId="405B037A" w:rsidR="00690753" w:rsidRDefault="00690753" w:rsidP="00692B80">
      <w:pPr>
        <w:rPr>
          <w:rFonts w:ascii="Arial" w:hAnsi="Arial" w:cs="Arial"/>
          <w:sz w:val="20"/>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077297" w14:paraId="298812DE" w14:textId="77777777" w:rsidTr="007C4C2B">
        <w:tc>
          <w:tcPr>
            <w:tcW w:w="4508" w:type="dxa"/>
          </w:tcPr>
          <w:p w14:paraId="0F65F8AF" w14:textId="77777777" w:rsidR="00077297" w:rsidRDefault="00077297" w:rsidP="007C4C2B">
            <w:pPr>
              <w:tabs>
                <w:tab w:val="left" w:pos="720"/>
              </w:tabs>
              <w:jc w:val="both"/>
              <w:rPr>
                <w:rFonts w:ascii="Arial" w:hAnsi="Arial" w:cs="Arial"/>
                <w:sz w:val="20"/>
              </w:rPr>
            </w:pPr>
            <w:r w:rsidRPr="000C5130">
              <w:rPr>
                <w:rFonts w:ascii="Arial" w:hAnsi="Arial" w:cs="Arial"/>
                <w:sz w:val="20"/>
              </w:rPr>
              <w:lastRenderedPageBreak/>
              <w:t>Compiled by:</w:t>
            </w:r>
          </w:p>
        </w:tc>
        <w:tc>
          <w:tcPr>
            <w:tcW w:w="4508" w:type="dxa"/>
          </w:tcPr>
          <w:p w14:paraId="5602190E" w14:textId="77777777" w:rsidR="00077297" w:rsidRDefault="00077297" w:rsidP="007C4C2B">
            <w:pPr>
              <w:tabs>
                <w:tab w:val="left" w:pos="720"/>
              </w:tabs>
              <w:jc w:val="both"/>
              <w:rPr>
                <w:rFonts w:ascii="Arial" w:hAnsi="Arial" w:cs="Arial"/>
                <w:sz w:val="20"/>
              </w:rPr>
            </w:pPr>
            <w:r>
              <w:rPr>
                <w:rFonts w:ascii="Arial" w:hAnsi="Arial" w:cs="Arial"/>
                <w:sz w:val="20"/>
              </w:rPr>
              <w:t xml:space="preserve">Accepted </w:t>
            </w:r>
            <w:r w:rsidRPr="000C5130">
              <w:rPr>
                <w:rFonts w:ascii="Arial" w:hAnsi="Arial" w:cs="Arial"/>
                <w:sz w:val="20"/>
              </w:rPr>
              <w:t>by:</w:t>
            </w:r>
          </w:p>
        </w:tc>
      </w:tr>
      <w:tr w:rsidR="00077297" w:rsidRPr="00AC3774" w14:paraId="7DC3B048" w14:textId="77777777" w:rsidTr="007C4C2B">
        <w:tc>
          <w:tcPr>
            <w:tcW w:w="4508" w:type="dxa"/>
          </w:tcPr>
          <w:p w14:paraId="64488DE3" w14:textId="77777777" w:rsidR="00077297" w:rsidRPr="00AC3774" w:rsidRDefault="00077297" w:rsidP="007C4C2B">
            <w:pPr>
              <w:tabs>
                <w:tab w:val="left" w:pos="720"/>
              </w:tabs>
              <w:jc w:val="both"/>
              <w:rPr>
                <w:rFonts w:ascii="Arial" w:hAnsi="Arial" w:cs="Arial"/>
                <w:sz w:val="20"/>
              </w:rPr>
            </w:pPr>
          </w:p>
          <w:p w14:paraId="4E7822FE" w14:textId="77777777" w:rsidR="00077297" w:rsidRPr="00AC3774" w:rsidRDefault="00077297" w:rsidP="007C4C2B">
            <w:pPr>
              <w:tabs>
                <w:tab w:val="left" w:pos="720"/>
              </w:tabs>
              <w:jc w:val="both"/>
              <w:rPr>
                <w:rFonts w:ascii="Arial" w:hAnsi="Arial" w:cs="Arial"/>
                <w:sz w:val="20"/>
              </w:rPr>
            </w:pPr>
          </w:p>
          <w:p w14:paraId="71E348D5" w14:textId="77777777" w:rsidR="00077297" w:rsidRPr="00AC3774" w:rsidRDefault="00077297" w:rsidP="007C4C2B">
            <w:pPr>
              <w:tabs>
                <w:tab w:val="left" w:pos="720"/>
              </w:tabs>
              <w:jc w:val="both"/>
              <w:rPr>
                <w:rFonts w:ascii="Arial" w:hAnsi="Arial" w:cs="Arial"/>
                <w:sz w:val="20"/>
              </w:rPr>
            </w:pPr>
          </w:p>
          <w:p w14:paraId="376DF60F" w14:textId="77777777" w:rsidR="00077297" w:rsidRPr="00AC3774" w:rsidRDefault="00077297" w:rsidP="007C4C2B">
            <w:pPr>
              <w:tabs>
                <w:tab w:val="left" w:pos="720"/>
              </w:tabs>
              <w:jc w:val="both"/>
              <w:rPr>
                <w:rFonts w:ascii="Arial" w:hAnsi="Arial" w:cs="Arial"/>
                <w:sz w:val="20"/>
              </w:rPr>
            </w:pPr>
            <w:r>
              <w:rPr>
                <w:rFonts w:ascii="Arial" w:hAnsi="Arial" w:cs="Arial"/>
                <w:noProof/>
                <w:sz w:val="20"/>
                <w:lang w:val="en-ZA" w:eastAsia="en-ZA"/>
              </w:rPr>
              <w:drawing>
                <wp:inline distT="0" distB="0" distL="0" distR="0" wp14:anchorId="1A5D94E7" wp14:editId="13262AFA">
                  <wp:extent cx="1103939" cy="25273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562" cy="259512"/>
                          </a:xfrm>
                          <a:prstGeom prst="rect">
                            <a:avLst/>
                          </a:prstGeom>
                          <a:noFill/>
                        </pic:spPr>
                      </pic:pic>
                    </a:graphicData>
                  </a:graphic>
                </wp:inline>
              </w:drawing>
            </w:r>
            <w:r w:rsidRPr="00AC3774">
              <w:rPr>
                <w:rFonts w:ascii="Arial" w:hAnsi="Arial" w:cs="Arial"/>
                <w:sz w:val="20"/>
              </w:rPr>
              <w:t>……………………………..</w:t>
            </w:r>
          </w:p>
          <w:p w14:paraId="10857FD5" w14:textId="77777777" w:rsidR="00077297" w:rsidRPr="00AC3774" w:rsidRDefault="00077297" w:rsidP="007C4C2B">
            <w:pPr>
              <w:tabs>
                <w:tab w:val="left" w:pos="720"/>
              </w:tabs>
              <w:jc w:val="both"/>
              <w:rPr>
                <w:rFonts w:ascii="Arial" w:hAnsi="Arial" w:cs="Arial"/>
                <w:sz w:val="20"/>
              </w:rPr>
            </w:pPr>
            <w:r>
              <w:rPr>
                <w:rFonts w:ascii="Arial" w:hAnsi="Arial" w:cs="Arial"/>
                <w:sz w:val="20"/>
              </w:rPr>
              <w:t>Mosa Makhubo</w:t>
            </w:r>
          </w:p>
        </w:tc>
        <w:tc>
          <w:tcPr>
            <w:tcW w:w="4508" w:type="dxa"/>
          </w:tcPr>
          <w:p w14:paraId="6C85D4CF" w14:textId="77777777" w:rsidR="00077297" w:rsidRPr="00AC3774" w:rsidRDefault="00077297" w:rsidP="007C4C2B">
            <w:pPr>
              <w:tabs>
                <w:tab w:val="left" w:pos="720"/>
              </w:tabs>
              <w:jc w:val="both"/>
              <w:rPr>
                <w:rFonts w:ascii="Arial" w:hAnsi="Arial" w:cs="Arial"/>
                <w:sz w:val="20"/>
              </w:rPr>
            </w:pPr>
          </w:p>
          <w:p w14:paraId="6541FF82" w14:textId="77777777" w:rsidR="00077297" w:rsidRPr="00AC3774" w:rsidRDefault="00077297" w:rsidP="007C4C2B">
            <w:pPr>
              <w:tabs>
                <w:tab w:val="left" w:pos="720"/>
              </w:tabs>
              <w:jc w:val="both"/>
              <w:rPr>
                <w:rFonts w:ascii="Arial" w:hAnsi="Arial" w:cs="Arial"/>
                <w:sz w:val="20"/>
              </w:rPr>
            </w:pPr>
          </w:p>
          <w:p w14:paraId="2FF4173D" w14:textId="77777777" w:rsidR="00077297" w:rsidRPr="00AC3774" w:rsidRDefault="00077297" w:rsidP="007C4C2B">
            <w:pPr>
              <w:tabs>
                <w:tab w:val="left" w:pos="720"/>
              </w:tabs>
              <w:jc w:val="both"/>
              <w:rPr>
                <w:rFonts w:ascii="Arial" w:hAnsi="Arial" w:cs="Arial"/>
                <w:sz w:val="20"/>
              </w:rPr>
            </w:pPr>
          </w:p>
          <w:p w14:paraId="422C400C" w14:textId="77777777" w:rsidR="00077297" w:rsidRPr="00AC3774" w:rsidRDefault="00077297" w:rsidP="007C4C2B">
            <w:pPr>
              <w:tabs>
                <w:tab w:val="left" w:pos="720"/>
              </w:tabs>
              <w:jc w:val="both"/>
              <w:rPr>
                <w:rFonts w:ascii="Arial" w:hAnsi="Arial" w:cs="Arial"/>
                <w:sz w:val="20"/>
              </w:rPr>
            </w:pPr>
            <w:r w:rsidRPr="00AC3774">
              <w:rPr>
                <w:rFonts w:ascii="Arial" w:hAnsi="Arial" w:cs="Arial"/>
                <w:sz w:val="20"/>
              </w:rPr>
              <w:t>……………………………..</w:t>
            </w:r>
          </w:p>
          <w:p w14:paraId="36A1F1BD" w14:textId="77777777" w:rsidR="00077297" w:rsidRPr="00AC3774" w:rsidRDefault="00077297" w:rsidP="007C4C2B">
            <w:pPr>
              <w:tabs>
                <w:tab w:val="left" w:pos="720"/>
              </w:tabs>
              <w:jc w:val="both"/>
              <w:rPr>
                <w:rFonts w:ascii="Arial" w:hAnsi="Arial" w:cs="Arial"/>
                <w:sz w:val="20"/>
              </w:rPr>
            </w:pPr>
            <w:r>
              <w:rPr>
                <w:rFonts w:ascii="Arial" w:hAnsi="Arial" w:cs="Arial"/>
                <w:sz w:val="20"/>
              </w:rPr>
              <w:t>Name and Surname</w:t>
            </w:r>
          </w:p>
        </w:tc>
      </w:tr>
      <w:tr w:rsidR="00077297" w:rsidRPr="00AC3774" w14:paraId="56F89AF5" w14:textId="77777777" w:rsidTr="007C4C2B">
        <w:tc>
          <w:tcPr>
            <w:tcW w:w="4508" w:type="dxa"/>
          </w:tcPr>
          <w:p w14:paraId="574EA514" w14:textId="77777777" w:rsidR="00077297" w:rsidRPr="00AC3774" w:rsidRDefault="00077297" w:rsidP="007C4C2B">
            <w:pPr>
              <w:tabs>
                <w:tab w:val="left" w:pos="720"/>
              </w:tabs>
              <w:jc w:val="both"/>
              <w:rPr>
                <w:rFonts w:ascii="Arial" w:hAnsi="Arial" w:cs="Arial"/>
                <w:sz w:val="20"/>
              </w:rPr>
            </w:pPr>
            <w:r>
              <w:rPr>
                <w:rFonts w:ascii="Arial" w:hAnsi="Arial" w:cs="Arial"/>
                <w:sz w:val="20"/>
              </w:rPr>
              <w:t xml:space="preserve">Senior </w:t>
            </w:r>
            <w:r w:rsidRPr="00AC3774">
              <w:rPr>
                <w:rFonts w:ascii="Arial" w:hAnsi="Arial" w:cs="Arial"/>
                <w:sz w:val="20"/>
              </w:rPr>
              <w:t>Advisor</w:t>
            </w:r>
          </w:p>
          <w:p w14:paraId="7F1FD1E5" w14:textId="77777777" w:rsidR="00077297" w:rsidRPr="00AC3774" w:rsidRDefault="00077297" w:rsidP="007C4C2B">
            <w:pPr>
              <w:tabs>
                <w:tab w:val="left" w:pos="720"/>
              </w:tabs>
              <w:jc w:val="both"/>
              <w:rPr>
                <w:rFonts w:ascii="Arial" w:hAnsi="Arial" w:cs="Arial"/>
                <w:sz w:val="20"/>
              </w:rPr>
            </w:pPr>
            <w:r w:rsidRPr="00AC3774">
              <w:rPr>
                <w:rFonts w:ascii="Arial" w:hAnsi="Arial" w:cs="Arial"/>
                <w:sz w:val="20"/>
              </w:rPr>
              <w:t>Supplier Development</w:t>
            </w:r>
            <w:r>
              <w:rPr>
                <w:rFonts w:ascii="Arial" w:hAnsi="Arial" w:cs="Arial"/>
                <w:sz w:val="20"/>
              </w:rPr>
              <w:t>, Localization and Industrialization</w:t>
            </w:r>
          </w:p>
        </w:tc>
        <w:tc>
          <w:tcPr>
            <w:tcW w:w="4508" w:type="dxa"/>
          </w:tcPr>
          <w:p w14:paraId="02C43209" w14:textId="77777777" w:rsidR="00077297" w:rsidRPr="00AC3774" w:rsidRDefault="00077297" w:rsidP="007C4C2B">
            <w:pPr>
              <w:tabs>
                <w:tab w:val="left" w:pos="720"/>
              </w:tabs>
              <w:jc w:val="both"/>
              <w:rPr>
                <w:rFonts w:ascii="Arial" w:hAnsi="Arial" w:cs="Arial"/>
                <w:sz w:val="20"/>
              </w:rPr>
            </w:pPr>
            <w:r>
              <w:rPr>
                <w:rFonts w:ascii="Arial" w:hAnsi="Arial" w:cs="Arial"/>
                <w:sz w:val="20"/>
              </w:rPr>
              <w:t>Appointed Contractor</w:t>
            </w:r>
          </w:p>
          <w:p w14:paraId="3BC02FDA" w14:textId="77777777" w:rsidR="00077297" w:rsidRPr="00AC3774" w:rsidRDefault="00077297" w:rsidP="007C4C2B">
            <w:pPr>
              <w:tabs>
                <w:tab w:val="left" w:pos="720"/>
              </w:tabs>
              <w:jc w:val="both"/>
              <w:rPr>
                <w:rFonts w:ascii="Arial" w:hAnsi="Arial" w:cs="Arial"/>
                <w:sz w:val="20"/>
              </w:rPr>
            </w:pPr>
          </w:p>
        </w:tc>
      </w:tr>
    </w:tbl>
    <w:p w14:paraId="404208A9" w14:textId="77777777" w:rsidR="00077297" w:rsidRDefault="00077297" w:rsidP="00377F75">
      <w:pPr>
        <w:rPr>
          <w:rFonts w:ascii="Arial" w:hAnsi="Arial" w:cs="Arial"/>
          <w:sz w:val="20"/>
          <w:lang w:val="en-GB"/>
        </w:rPr>
      </w:pPr>
    </w:p>
    <w:p w14:paraId="4B321532" w14:textId="77777777" w:rsidR="00077297" w:rsidRDefault="00077297" w:rsidP="00377F75">
      <w:pPr>
        <w:rPr>
          <w:rFonts w:ascii="Arial" w:hAnsi="Arial" w:cs="Arial"/>
          <w:sz w:val="20"/>
          <w:lang w:val="en-GB"/>
        </w:rPr>
      </w:pPr>
    </w:p>
    <w:p w14:paraId="725443E7" w14:textId="77777777" w:rsidR="00377F75" w:rsidRPr="00151199" w:rsidRDefault="00377F75" w:rsidP="00377F75">
      <w:pPr>
        <w:rPr>
          <w:rFonts w:ascii="Arial" w:hAnsi="Arial" w:cs="Arial"/>
          <w:sz w:val="20"/>
          <w:lang w:val="en-GB"/>
        </w:rPr>
      </w:pPr>
    </w:p>
    <w:p w14:paraId="25BDD8B0" w14:textId="01F36455" w:rsidR="00377F75" w:rsidRDefault="00377F75" w:rsidP="00377F75">
      <w:pPr>
        <w:rPr>
          <w:rFonts w:ascii="Arial" w:hAnsi="Arial" w:cs="Arial"/>
          <w:sz w:val="20"/>
          <w:lang w:val="en-GB"/>
        </w:rPr>
      </w:pPr>
      <w:r w:rsidRPr="00151199">
        <w:rPr>
          <w:rFonts w:ascii="Arial" w:hAnsi="Arial" w:cs="Arial"/>
          <w:sz w:val="20"/>
          <w:lang w:val="en-GB"/>
        </w:rPr>
        <w:t>Date: _</w:t>
      </w:r>
      <w:r w:rsidR="00077297">
        <w:rPr>
          <w:rFonts w:ascii="Arial" w:hAnsi="Arial" w:cs="Arial"/>
          <w:sz w:val="20"/>
          <w:lang w:val="en-GB"/>
        </w:rPr>
        <w:t xml:space="preserve">26 June 2025                                                    </w:t>
      </w:r>
      <w:proofErr w:type="gramStart"/>
      <w:r w:rsidR="00077297">
        <w:rPr>
          <w:rFonts w:ascii="Arial" w:hAnsi="Arial" w:cs="Arial"/>
          <w:sz w:val="20"/>
          <w:lang w:val="en-GB"/>
        </w:rPr>
        <w:t>Date:</w:t>
      </w:r>
      <w:r w:rsidRPr="00151199">
        <w:rPr>
          <w:rFonts w:ascii="Arial" w:hAnsi="Arial" w:cs="Arial"/>
          <w:sz w:val="20"/>
          <w:lang w:val="en-GB"/>
        </w:rPr>
        <w:t>_</w:t>
      </w:r>
      <w:proofErr w:type="gramEnd"/>
      <w:r w:rsidRPr="00151199">
        <w:rPr>
          <w:rFonts w:ascii="Arial" w:hAnsi="Arial" w:cs="Arial"/>
          <w:sz w:val="20"/>
          <w:lang w:val="en-GB"/>
        </w:rPr>
        <w:t>___________________</w:t>
      </w:r>
    </w:p>
    <w:p w14:paraId="458E17D4" w14:textId="0762383D" w:rsidR="00690753" w:rsidRDefault="00690753" w:rsidP="00690753">
      <w:pPr>
        <w:pStyle w:val="Default"/>
        <w:rPr>
          <w:sz w:val="20"/>
          <w:szCs w:val="20"/>
        </w:rPr>
      </w:pPr>
    </w:p>
    <w:p w14:paraId="729FF0B8" w14:textId="77777777" w:rsidR="00690753" w:rsidRDefault="00690753" w:rsidP="00692B80">
      <w:pPr>
        <w:rPr>
          <w:rFonts w:ascii="Arial" w:hAnsi="Arial" w:cs="Arial"/>
          <w:sz w:val="20"/>
          <w:lang w:val="en-GB"/>
        </w:rPr>
      </w:pPr>
    </w:p>
    <w:sectPr w:rsidR="00690753" w:rsidSect="0030411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B4D8C" w14:textId="77777777" w:rsidR="00E40EC2" w:rsidRDefault="00E40EC2" w:rsidP="00201A98">
      <w:r>
        <w:separator/>
      </w:r>
    </w:p>
  </w:endnote>
  <w:endnote w:type="continuationSeparator" w:id="0">
    <w:p w14:paraId="07996F70" w14:textId="77777777" w:rsidR="00E40EC2" w:rsidRDefault="00E40EC2"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Helvetica-Bol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D71D9"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8AAF2"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7FC2C9A5"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6EBEC6EF" w14:textId="77777777" w:rsidR="00105474" w:rsidRPr="00105474" w:rsidRDefault="00105474" w:rsidP="00105474">
    <w:pPr>
      <w:pStyle w:val="Footer"/>
      <w:jc w:val="center"/>
      <w:rPr>
        <w:rFonts w:ascii="Arial" w:hAnsi="Arial" w:cs="Arial"/>
        <w:sz w:val="16"/>
        <w:szCs w:val="16"/>
        <w:lang w:val="en-GB"/>
      </w:rPr>
    </w:pPr>
  </w:p>
  <w:p w14:paraId="27E2B2BD" w14:textId="77777777"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ED3668">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ED3668">
      <w:rPr>
        <w:rFonts w:ascii="Arial" w:hAnsi="Arial" w:cs="Arial"/>
        <w:noProof/>
        <w:sz w:val="16"/>
        <w:szCs w:val="16"/>
      </w:rPr>
      <w:t>1</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06C1A"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E7DB0" w14:textId="77777777" w:rsidR="00E40EC2" w:rsidRDefault="00E40EC2" w:rsidP="00201A98">
      <w:r>
        <w:separator/>
      </w:r>
    </w:p>
  </w:footnote>
  <w:footnote w:type="continuationSeparator" w:id="0">
    <w:p w14:paraId="63890BFD" w14:textId="77777777" w:rsidR="00E40EC2" w:rsidRDefault="00E40EC2"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FB3C5"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764BCCB5" w14:textId="77777777" w:rsidTr="00105474">
      <w:trPr>
        <w:cantSplit/>
        <w:trHeight w:val="263"/>
        <w:jc w:val="center"/>
      </w:trPr>
      <w:tc>
        <w:tcPr>
          <w:tcW w:w="2410" w:type="dxa"/>
          <w:vMerge w:val="restart"/>
          <w:vAlign w:val="bottom"/>
        </w:tcPr>
        <w:p w14:paraId="58C4AC75" w14:textId="77777777" w:rsidR="00304117" w:rsidRPr="003914DE" w:rsidRDefault="00750483" w:rsidP="00EA1B3D">
          <w:pPr>
            <w:spacing w:before="840"/>
            <w:rPr>
              <w:rFonts w:ascii="Arial" w:hAnsi="Arial"/>
              <w:b/>
              <w:lang w:val="en-GB"/>
            </w:rPr>
          </w:pPr>
          <w:r>
            <w:rPr>
              <w:rFonts w:ascii="Arial" w:hAnsi="Arial"/>
              <w:b/>
              <w:lang w:val="en-GB"/>
            </w:rPr>
            <w:object w:dxaOrig="1440" w:dyaOrig="1440" w14:anchorId="2006FA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4620636" r:id="rId2"/>
            </w:object>
          </w:r>
        </w:p>
      </w:tc>
      <w:tc>
        <w:tcPr>
          <w:tcW w:w="3544" w:type="dxa"/>
          <w:vMerge w:val="restart"/>
          <w:vAlign w:val="center"/>
        </w:tcPr>
        <w:p w14:paraId="0C18DBE0"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30B7CBE9"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16167194"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760FFCA0"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5E5B795D"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14E2544C" w14:textId="77777777" w:rsidTr="00105474">
      <w:trPr>
        <w:cantSplit/>
        <w:trHeight w:val="261"/>
        <w:jc w:val="center"/>
      </w:trPr>
      <w:tc>
        <w:tcPr>
          <w:tcW w:w="2410" w:type="dxa"/>
          <w:vMerge/>
          <w:vAlign w:val="bottom"/>
        </w:tcPr>
        <w:p w14:paraId="54F9397C" w14:textId="77777777" w:rsidR="00B3212E" w:rsidRPr="003914DE" w:rsidRDefault="00B3212E" w:rsidP="00EA1B3D">
          <w:pPr>
            <w:spacing w:before="840"/>
            <w:rPr>
              <w:rFonts w:ascii="Arial" w:hAnsi="Arial"/>
              <w:b/>
              <w:lang w:val="en-GB"/>
            </w:rPr>
          </w:pPr>
        </w:p>
      </w:tc>
      <w:tc>
        <w:tcPr>
          <w:tcW w:w="3544" w:type="dxa"/>
          <w:vMerge/>
          <w:vAlign w:val="center"/>
        </w:tcPr>
        <w:p w14:paraId="781F1C17"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5C859A96"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C884CA1"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63F071AF"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1A46456E"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081F1EE7" w14:textId="77777777" w:rsidTr="00105474">
      <w:trPr>
        <w:cantSplit/>
        <w:trHeight w:val="261"/>
        <w:jc w:val="center"/>
      </w:trPr>
      <w:tc>
        <w:tcPr>
          <w:tcW w:w="2410" w:type="dxa"/>
          <w:vMerge/>
          <w:vAlign w:val="bottom"/>
        </w:tcPr>
        <w:p w14:paraId="49C89816" w14:textId="77777777" w:rsidR="00B3212E" w:rsidRPr="003914DE" w:rsidRDefault="00B3212E" w:rsidP="00EA1B3D">
          <w:pPr>
            <w:spacing w:before="840"/>
            <w:rPr>
              <w:rFonts w:ascii="Arial" w:hAnsi="Arial"/>
              <w:b/>
              <w:lang w:val="en-GB"/>
            </w:rPr>
          </w:pPr>
        </w:p>
      </w:tc>
      <w:tc>
        <w:tcPr>
          <w:tcW w:w="3544" w:type="dxa"/>
          <w:vMerge/>
          <w:vAlign w:val="center"/>
        </w:tcPr>
        <w:p w14:paraId="2F7F71D7"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473F0385"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5776EAEB"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17412B68" w14:textId="77777777" w:rsidTr="00105474">
      <w:trPr>
        <w:cantSplit/>
        <w:trHeight w:hRule="exact" w:val="322"/>
        <w:jc w:val="center"/>
      </w:trPr>
      <w:tc>
        <w:tcPr>
          <w:tcW w:w="2410" w:type="dxa"/>
          <w:vMerge/>
          <w:vAlign w:val="bottom"/>
        </w:tcPr>
        <w:p w14:paraId="2CF13C1E" w14:textId="77777777" w:rsidR="00B3212E" w:rsidRPr="003914DE" w:rsidRDefault="00B3212E" w:rsidP="00EA1B3D">
          <w:pPr>
            <w:spacing w:before="840"/>
            <w:rPr>
              <w:rFonts w:ascii="Arial" w:hAnsi="Arial"/>
              <w:b/>
              <w:lang w:val="en-GB"/>
            </w:rPr>
          </w:pPr>
        </w:p>
      </w:tc>
      <w:tc>
        <w:tcPr>
          <w:tcW w:w="3544" w:type="dxa"/>
          <w:vMerge/>
          <w:vAlign w:val="center"/>
        </w:tcPr>
        <w:p w14:paraId="3D9C0737"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25CDAB4A"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5E30F558"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3A2AE09D"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BE2D"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35F039E"/>
    <w:multiLevelType w:val="hybridMultilevel"/>
    <w:tmpl w:val="C6568A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0FB14ED"/>
    <w:multiLevelType w:val="hybridMultilevel"/>
    <w:tmpl w:val="02BAFF3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37105E3"/>
    <w:multiLevelType w:val="hybridMultilevel"/>
    <w:tmpl w:val="1B3888B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9"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5"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0323DD2"/>
    <w:multiLevelType w:val="hybridMultilevel"/>
    <w:tmpl w:val="B20CE3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1"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A353C11"/>
    <w:multiLevelType w:val="hybridMultilevel"/>
    <w:tmpl w:val="026426C6"/>
    <w:lvl w:ilvl="0" w:tplc="FFFFFFFF">
      <w:start w:val="1"/>
      <w:numFmt w:val="lowerLetter"/>
      <w:lvlText w:val="%1)"/>
      <w:lvlJc w:val="left"/>
      <w:pPr>
        <w:ind w:left="600" w:hanging="360"/>
      </w:pPr>
      <w:rPr>
        <w:rFonts w:hint="default"/>
      </w:rPr>
    </w:lvl>
    <w:lvl w:ilvl="1" w:tplc="FFFFFFFF" w:tentative="1">
      <w:start w:val="1"/>
      <w:numFmt w:val="lowerLetter"/>
      <w:lvlText w:val="%2."/>
      <w:lvlJc w:val="left"/>
      <w:pPr>
        <w:ind w:left="1320" w:hanging="360"/>
      </w:pPr>
    </w:lvl>
    <w:lvl w:ilvl="2" w:tplc="FFFFFFFF" w:tentative="1">
      <w:start w:val="1"/>
      <w:numFmt w:val="lowerRoman"/>
      <w:lvlText w:val="%3."/>
      <w:lvlJc w:val="right"/>
      <w:pPr>
        <w:ind w:left="2040" w:hanging="180"/>
      </w:pPr>
    </w:lvl>
    <w:lvl w:ilvl="3" w:tplc="FFFFFFFF" w:tentative="1">
      <w:start w:val="1"/>
      <w:numFmt w:val="decimal"/>
      <w:lvlText w:val="%4."/>
      <w:lvlJc w:val="left"/>
      <w:pPr>
        <w:ind w:left="2760" w:hanging="360"/>
      </w:pPr>
    </w:lvl>
    <w:lvl w:ilvl="4" w:tplc="FFFFFFFF" w:tentative="1">
      <w:start w:val="1"/>
      <w:numFmt w:val="lowerLetter"/>
      <w:lvlText w:val="%5."/>
      <w:lvlJc w:val="left"/>
      <w:pPr>
        <w:ind w:left="3480" w:hanging="360"/>
      </w:pPr>
    </w:lvl>
    <w:lvl w:ilvl="5" w:tplc="FFFFFFFF" w:tentative="1">
      <w:start w:val="1"/>
      <w:numFmt w:val="lowerRoman"/>
      <w:lvlText w:val="%6."/>
      <w:lvlJc w:val="right"/>
      <w:pPr>
        <w:ind w:left="4200" w:hanging="180"/>
      </w:pPr>
    </w:lvl>
    <w:lvl w:ilvl="6" w:tplc="FFFFFFFF" w:tentative="1">
      <w:start w:val="1"/>
      <w:numFmt w:val="decimal"/>
      <w:lvlText w:val="%7."/>
      <w:lvlJc w:val="left"/>
      <w:pPr>
        <w:ind w:left="4920" w:hanging="360"/>
      </w:pPr>
    </w:lvl>
    <w:lvl w:ilvl="7" w:tplc="FFFFFFFF" w:tentative="1">
      <w:start w:val="1"/>
      <w:numFmt w:val="lowerLetter"/>
      <w:lvlText w:val="%8."/>
      <w:lvlJc w:val="left"/>
      <w:pPr>
        <w:ind w:left="5640" w:hanging="360"/>
      </w:pPr>
    </w:lvl>
    <w:lvl w:ilvl="8" w:tplc="FFFFFFFF" w:tentative="1">
      <w:start w:val="1"/>
      <w:numFmt w:val="lowerRoman"/>
      <w:lvlText w:val="%9."/>
      <w:lvlJc w:val="right"/>
      <w:pPr>
        <w:ind w:left="6360" w:hanging="180"/>
      </w:pPr>
    </w:lvl>
  </w:abstractNum>
  <w:abstractNum w:abstractNumId="23"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947682F"/>
    <w:multiLevelType w:val="hybridMultilevel"/>
    <w:tmpl w:val="42844F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7"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8"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9" w15:restartNumberingAfterBreak="0">
    <w:nsid w:val="54C3155A"/>
    <w:multiLevelType w:val="hybridMultilevel"/>
    <w:tmpl w:val="AB4E657C"/>
    <w:lvl w:ilvl="0" w:tplc="1C09000D">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0"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2"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3"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4"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5"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7483256E"/>
    <w:multiLevelType w:val="hybridMultilevel"/>
    <w:tmpl w:val="4E4E67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777F1790"/>
    <w:multiLevelType w:val="hybridMultilevel"/>
    <w:tmpl w:val="3C4E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AB12003"/>
    <w:multiLevelType w:val="hybridMultilevel"/>
    <w:tmpl w:val="7DF0C0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B5A7828"/>
    <w:multiLevelType w:val="hybridMultilevel"/>
    <w:tmpl w:val="034E3E80"/>
    <w:lvl w:ilvl="0" w:tplc="9FB09FB8">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488013514">
    <w:abstractNumId w:val="7"/>
  </w:num>
  <w:num w:numId="2" w16cid:durableId="459298712">
    <w:abstractNumId w:val="28"/>
  </w:num>
  <w:num w:numId="3" w16cid:durableId="931164446">
    <w:abstractNumId w:val="30"/>
  </w:num>
  <w:num w:numId="4" w16cid:durableId="2045060918">
    <w:abstractNumId w:val="2"/>
  </w:num>
  <w:num w:numId="5" w16cid:durableId="1837648516">
    <w:abstractNumId w:val="12"/>
  </w:num>
  <w:num w:numId="6" w16cid:durableId="325670353">
    <w:abstractNumId w:val="16"/>
  </w:num>
  <w:num w:numId="7" w16cid:durableId="1041369509">
    <w:abstractNumId w:val="35"/>
  </w:num>
  <w:num w:numId="8" w16cid:durableId="1646933402">
    <w:abstractNumId w:val="4"/>
  </w:num>
  <w:num w:numId="9" w16cid:durableId="1940718885">
    <w:abstractNumId w:val="20"/>
  </w:num>
  <w:num w:numId="10" w16cid:durableId="1663849209">
    <w:abstractNumId w:val="26"/>
  </w:num>
  <w:num w:numId="11" w16cid:durableId="1701197483">
    <w:abstractNumId w:val="33"/>
  </w:num>
  <w:num w:numId="12" w16cid:durableId="667559945">
    <w:abstractNumId w:val="10"/>
  </w:num>
  <w:num w:numId="13" w16cid:durableId="1137798176">
    <w:abstractNumId w:val="21"/>
  </w:num>
  <w:num w:numId="14" w16cid:durableId="796994086">
    <w:abstractNumId w:val="14"/>
  </w:num>
  <w:num w:numId="15" w16cid:durableId="1957907112">
    <w:abstractNumId w:val="15"/>
  </w:num>
  <w:num w:numId="16" w16cid:durableId="1938368673">
    <w:abstractNumId w:val="0"/>
  </w:num>
  <w:num w:numId="17" w16cid:durableId="1831019867">
    <w:abstractNumId w:val="18"/>
  </w:num>
  <w:num w:numId="18" w16cid:durableId="2039817002">
    <w:abstractNumId w:val="5"/>
  </w:num>
  <w:num w:numId="19" w16cid:durableId="938220286">
    <w:abstractNumId w:val="27"/>
  </w:num>
  <w:num w:numId="20" w16cid:durableId="1889100151">
    <w:abstractNumId w:val="11"/>
  </w:num>
  <w:num w:numId="21" w16cid:durableId="1269318150">
    <w:abstractNumId w:val="23"/>
  </w:num>
  <w:num w:numId="22" w16cid:durableId="460926328">
    <w:abstractNumId w:val="13"/>
  </w:num>
  <w:num w:numId="23" w16cid:durableId="457649147">
    <w:abstractNumId w:val="34"/>
  </w:num>
  <w:num w:numId="24" w16cid:durableId="265188708">
    <w:abstractNumId w:val="19"/>
  </w:num>
  <w:num w:numId="25" w16cid:durableId="1945065731">
    <w:abstractNumId w:val="9"/>
  </w:num>
  <w:num w:numId="26" w16cid:durableId="682437374">
    <w:abstractNumId w:val="11"/>
  </w:num>
  <w:num w:numId="27" w16cid:durableId="88351498">
    <w:abstractNumId w:val="39"/>
  </w:num>
  <w:num w:numId="28" w16cid:durableId="656766579">
    <w:abstractNumId w:val="24"/>
  </w:num>
  <w:num w:numId="29" w16cid:durableId="496387870">
    <w:abstractNumId w:val="3"/>
  </w:num>
  <w:num w:numId="30" w16cid:durableId="686714815">
    <w:abstractNumId w:val="31"/>
  </w:num>
  <w:num w:numId="31" w16cid:durableId="212237632">
    <w:abstractNumId w:val="42"/>
  </w:num>
  <w:num w:numId="32" w16cid:durableId="796528569">
    <w:abstractNumId w:val="37"/>
  </w:num>
  <w:num w:numId="33" w16cid:durableId="743837635">
    <w:abstractNumId w:val="32"/>
  </w:num>
  <w:num w:numId="34" w16cid:durableId="1477333392">
    <w:abstractNumId w:val="40"/>
  </w:num>
  <w:num w:numId="35" w16cid:durableId="859512984">
    <w:abstractNumId w:val="17"/>
  </w:num>
  <w:num w:numId="36" w16cid:durableId="1185559877">
    <w:abstractNumId w:val="38"/>
  </w:num>
  <w:num w:numId="37" w16cid:durableId="449856765">
    <w:abstractNumId w:val="6"/>
  </w:num>
  <w:num w:numId="38" w16cid:durableId="7290422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95549392">
    <w:abstractNumId w:val="25"/>
  </w:num>
  <w:num w:numId="40" w16cid:durableId="548952744">
    <w:abstractNumId w:val="22"/>
  </w:num>
  <w:num w:numId="41" w16cid:durableId="860358405">
    <w:abstractNumId w:val="29"/>
  </w:num>
  <w:num w:numId="42" w16cid:durableId="1106998766">
    <w:abstractNumId w:val="1"/>
  </w:num>
  <w:num w:numId="43" w16cid:durableId="106393799">
    <w:abstractNumId w:val="36"/>
  </w:num>
  <w:num w:numId="44" w16cid:durableId="172491099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2031"/>
    <w:rsid w:val="0001209B"/>
    <w:rsid w:val="00012461"/>
    <w:rsid w:val="00023030"/>
    <w:rsid w:val="000263D8"/>
    <w:rsid w:val="00035A8A"/>
    <w:rsid w:val="0004245C"/>
    <w:rsid w:val="00044600"/>
    <w:rsid w:val="000625A7"/>
    <w:rsid w:val="00066D6E"/>
    <w:rsid w:val="0006729B"/>
    <w:rsid w:val="00067DC9"/>
    <w:rsid w:val="00074C17"/>
    <w:rsid w:val="00077297"/>
    <w:rsid w:val="00077A57"/>
    <w:rsid w:val="00097047"/>
    <w:rsid w:val="000A01FA"/>
    <w:rsid w:val="000A386C"/>
    <w:rsid w:val="000B165C"/>
    <w:rsid w:val="000B28F1"/>
    <w:rsid w:val="000B6B22"/>
    <w:rsid w:val="000B7D6D"/>
    <w:rsid w:val="000C1A03"/>
    <w:rsid w:val="000C33EB"/>
    <w:rsid w:val="000C3AE4"/>
    <w:rsid w:val="000C6C73"/>
    <w:rsid w:val="000D348C"/>
    <w:rsid w:val="000D4357"/>
    <w:rsid w:val="000F6D38"/>
    <w:rsid w:val="001022DD"/>
    <w:rsid w:val="00105474"/>
    <w:rsid w:val="00115ECC"/>
    <w:rsid w:val="001477A3"/>
    <w:rsid w:val="00154240"/>
    <w:rsid w:val="00155040"/>
    <w:rsid w:val="00155248"/>
    <w:rsid w:val="00156CC7"/>
    <w:rsid w:val="00161EF8"/>
    <w:rsid w:val="001645BF"/>
    <w:rsid w:val="00173BE4"/>
    <w:rsid w:val="001829A7"/>
    <w:rsid w:val="001956EA"/>
    <w:rsid w:val="001A408A"/>
    <w:rsid w:val="001A57D9"/>
    <w:rsid w:val="001B2323"/>
    <w:rsid w:val="001B3118"/>
    <w:rsid w:val="001B3B2A"/>
    <w:rsid w:val="001C599B"/>
    <w:rsid w:val="001C61B6"/>
    <w:rsid w:val="001D042C"/>
    <w:rsid w:val="001D1614"/>
    <w:rsid w:val="001D391D"/>
    <w:rsid w:val="001D3F40"/>
    <w:rsid w:val="001F7923"/>
    <w:rsid w:val="00201A98"/>
    <w:rsid w:val="00213331"/>
    <w:rsid w:val="002319CA"/>
    <w:rsid w:val="002341C9"/>
    <w:rsid w:val="00245711"/>
    <w:rsid w:val="00253B8A"/>
    <w:rsid w:val="00257B92"/>
    <w:rsid w:val="002632AA"/>
    <w:rsid w:val="00270763"/>
    <w:rsid w:val="00276C45"/>
    <w:rsid w:val="0027700C"/>
    <w:rsid w:val="002855B7"/>
    <w:rsid w:val="00296B82"/>
    <w:rsid w:val="002A7C4A"/>
    <w:rsid w:val="002B02CB"/>
    <w:rsid w:val="002C0D29"/>
    <w:rsid w:val="002C1722"/>
    <w:rsid w:val="002C1EE5"/>
    <w:rsid w:val="002C3A70"/>
    <w:rsid w:val="002D79CC"/>
    <w:rsid w:val="002E453E"/>
    <w:rsid w:val="002F4F5C"/>
    <w:rsid w:val="00300333"/>
    <w:rsid w:val="003038B4"/>
    <w:rsid w:val="00304117"/>
    <w:rsid w:val="003113D9"/>
    <w:rsid w:val="003127C7"/>
    <w:rsid w:val="00317372"/>
    <w:rsid w:val="0032593D"/>
    <w:rsid w:val="003317CA"/>
    <w:rsid w:val="00332369"/>
    <w:rsid w:val="00334F93"/>
    <w:rsid w:val="003363BE"/>
    <w:rsid w:val="003462C3"/>
    <w:rsid w:val="00347894"/>
    <w:rsid w:val="00362A3C"/>
    <w:rsid w:val="003633CD"/>
    <w:rsid w:val="003730AF"/>
    <w:rsid w:val="00373CF8"/>
    <w:rsid w:val="0037426F"/>
    <w:rsid w:val="00377F75"/>
    <w:rsid w:val="003840F2"/>
    <w:rsid w:val="003914DE"/>
    <w:rsid w:val="0039219D"/>
    <w:rsid w:val="003B3ABD"/>
    <w:rsid w:val="003C07F4"/>
    <w:rsid w:val="003C17E0"/>
    <w:rsid w:val="003C4951"/>
    <w:rsid w:val="003C6B9A"/>
    <w:rsid w:val="003D48B8"/>
    <w:rsid w:val="003D66FA"/>
    <w:rsid w:val="003D78F9"/>
    <w:rsid w:val="003E052A"/>
    <w:rsid w:val="003E3613"/>
    <w:rsid w:val="003E3F2B"/>
    <w:rsid w:val="003E4D3F"/>
    <w:rsid w:val="003F2387"/>
    <w:rsid w:val="003F3E07"/>
    <w:rsid w:val="003F59CF"/>
    <w:rsid w:val="003F7B1E"/>
    <w:rsid w:val="004008B9"/>
    <w:rsid w:val="00404772"/>
    <w:rsid w:val="00410EF6"/>
    <w:rsid w:val="004201DA"/>
    <w:rsid w:val="00423734"/>
    <w:rsid w:val="004251A4"/>
    <w:rsid w:val="0042564D"/>
    <w:rsid w:val="004364AE"/>
    <w:rsid w:val="00457274"/>
    <w:rsid w:val="00460577"/>
    <w:rsid w:val="00470A92"/>
    <w:rsid w:val="00483391"/>
    <w:rsid w:val="004857A1"/>
    <w:rsid w:val="004954EB"/>
    <w:rsid w:val="004A7CAF"/>
    <w:rsid w:val="004B3037"/>
    <w:rsid w:val="004C3176"/>
    <w:rsid w:val="004C38A6"/>
    <w:rsid w:val="004D00A8"/>
    <w:rsid w:val="004D1602"/>
    <w:rsid w:val="004E19F4"/>
    <w:rsid w:val="004E6C33"/>
    <w:rsid w:val="004E704A"/>
    <w:rsid w:val="004E77C0"/>
    <w:rsid w:val="004F07CB"/>
    <w:rsid w:val="004F117E"/>
    <w:rsid w:val="004F578D"/>
    <w:rsid w:val="00501815"/>
    <w:rsid w:val="00504CE2"/>
    <w:rsid w:val="00506A41"/>
    <w:rsid w:val="005125A6"/>
    <w:rsid w:val="00514EB4"/>
    <w:rsid w:val="00522615"/>
    <w:rsid w:val="00534A84"/>
    <w:rsid w:val="00550760"/>
    <w:rsid w:val="00557071"/>
    <w:rsid w:val="00560EDB"/>
    <w:rsid w:val="00563AC1"/>
    <w:rsid w:val="00567676"/>
    <w:rsid w:val="005765A0"/>
    <w:rsid w:val="00586532"/>
    <w:rsid w:val="005908DD"/>
    <w:rsid w:val="0059543E"/>
    <w:rsid w:val="00596B3A"/>
    <w:rsid w:val="005A39B7"/>
    <w:rsid w:val="005A63F7"/>
    <w:rsid w:val="005C2E51"/>
    <w:rsid w:val="005D7F0D"/>
    <w:rsid w:val="005E0073"/>
    <w:rsid w:val="005E2693"/>
    <w:rsid w:val="005E3BE0"/>
    <w:rsid w:val="005E6044"/>
    <w:rsid w:val="005F32BB"/>
    <w:rsid w:val="005F7F36"/>
    <w:rsid w:val="00602047"/>
    <w:rsid w:val="006067AC"/>
    <w:rsid w:val="00607D65"/>
    <w:rsid w:val="0061034B"/>
    <w:rsid w:val="00611927"/>
    <w:rsid w:val="006260D8"/>
    <w:rsid w:val="00627923"/>
    <w:rsid w:val="00627AF6"/>
    <w:rsid w:val="00633969"/>
    <w:rsid w:val="00633B8B"/>
    <w:rsid w:val="0063746A"/>
    <w:rsid w:val="00637900"/>
    <w:rsid w:val="00637D14"/>
    <w:rsid w:val="00640CD6"/>
    <w:rsid w:val="0064741D"/>
    <w:rsid w:val="00650062"/>
    <w:rsid w:val="00653EBC"/>
    <w:rsid w:val="00655FCF"/>
    <w:rsid w:val="00657B8A"/>
    <w:rsid w:val="00686AD4"/>
    <w:rsid w:val="00690753"/>
    <w:rsid w:val="00692B80"/>
    <w:rsid w:val="0069417B"/>
    <w:rsid w:val="006A1569"/>
    <w:rsid w:val="006A443E"/>
    <w:rsid w:val="006A55C5"/>
    <w:rsid w:val="006A73A5"/>
    <w:rsid w:val="006B0DF7"/>
    <w:rsid w:val="006B3FA2"/>
    <w:rsid w:val="006B57DF"/>
    <w:rsid w:val="006D536C"/>
    <w:rsid w:val="006D6104"/>
    <w:rsid w:val="006E0940"/>
    <w:rsid w:val="006E14B5"/>
    <w:rsid w:val="006E1BFE"/>
    <w:rsid w:val="006E4F88"/>
    <w:rsid w:val="006E52BA"/>
    <w:rsid w:val="006F5D0A"/>
    <w:rsid w:val="006F5DFA"/>
    <w:rsid w:val="00702C96"/>
    <w:rsid w:val="00705512"/>
    <w:rsid w:val="0070736F"/>
    <w:rsid w:val="00713E63"/>
    <w:rsid w:val="00730262"/>
    <w:rsid w:val="00732A3F"/>
    <w:rsid w:val="00732BC4"/>
    <w:rsid w:val="00733FE1"/>
    <w:rsid w:val="007369F7"/>
    <w:rsid w:val="007405EA"/>
    <w:rsid w:val="00750483"/>
    <w:rsid w:val="00757818"/>
    <w:rsid w:val="00765F55"/>
    <w:rsid w:val="00766FB1"/>
    <w:rsid w:val="00781328"/>
    <w:rsid w:val="00784A54"/>
    <w:rsid w:val="00785295"/>
    <w:rsid w:val="00791C9C"/>
    <w:rsid w:val="007A6F13"/>
    <w:rsid w:val="007B57E6"/>
    <w:rsid w:val="007C0A56"/>
    <w:rsid w:val="007D4E0A"/>
    <w:rsid w:val="007E0CE5"/>
    <w:rsid w:val="007E1380"/>
    <w:rsid w:val="007F15E3"/>
    <w:rsid w:val="00825B67"/>
    <w:rsid w:val="008307A1"/>
    <w:rsid w:val="008326AE"/>
    <w:rsid w:val="00837F50"/>
    <w:rsid w:val="00844D86"/>
    <w:rsid w:val="0084573D"/>
    <w:rsid w:val="00845A4B"/>
    <w:rsid w:val="0085043F"/>
    <w:rsid w:val="008525C7"/>
    <w:rsid w:val="00853A0D"/>
    <w:rsid w:val="00854874"/>
    <w:rsid w:val="00860294"/>
    <w:rsid w:val="00860C12"/>
    <w:rsid w:val="00861AE9"/>
    <w:rsid w:val="00861BE0"/>
    <w:rsid w:val="008723E9"/>
    <w:rsid w:val="00874A63"/>
    <w:rsid w:val="00880865"/>
    <w:rsid w:val="0088295E"/>
    <w:rsid w:val="00886564"/>
    <w:rsid w:val="00890D75"/>
    <w:rsid w:val="0089392A"/>
    <w:rsid w:val="00894E42"/>
    <w:rsid w:val="008951A9"/>
    <w:rsid w:val="0089757B"/>
    <w:rsid w:val="008A0942"/>
    <w:rsid w:val="008A3FC8"/>
    <w:rsid w:val="008A66CD"/>
    <w:rsid w:val="008B5871"/>
    <w:rsid w:val="008C01CF"/>
    <w:rsid w:val="008C0E9E"/>
    <w:rsid w:val="008F1EBE"/>
    <w:rsid w:val="008F5A31"/>
    <w:rsid w:val="008F5BEC"/>
    <w:rsid w:val="00903604"/>
    <w:rsid w:val="00905ED2"/>
    <w:rsid w:val="009136C8"/>
    <w:rsid w:val="009214A0"/>
    <w:rsid w:val="00924E22"/>
    <w:rsid w:val="00944D59"/>
    <w:rsid w:val="0095525E"/>
    <w:rsid w:val="00965504"/>
    <w:rsid w:val="00970379"/>
    <w:rsid w:val="00973722"/>
    <w:rsid w:val="00977B70"/>
    <w:rsid w:val="009801BA"/>
    <w:rsid w:val="00990864"/>
    <w:rsid w:val="009926FA"/>
    <w:rsid w:val="009A77EC"/>
    <w:rsid w:val="009E3D10"/>
    <w:rsid w:val="009F3555"/>
    <w:rsid w:val="00A05C1D"/>
    <w:rsid w:val="00A111DA"/>
    <w:rsid w:val="00A121BE"/>
    <w:rsid w:val="00A22E2A"/>
    <w:rsid w:val="00A22EF4"/>
    <w:rsid w:val="00A256F9"/>
    <w:rsid w:val="00A346F0"/>
    <w:rsid w:val="00A348AD"/>
    <w:rsid w:val="00A40E90"/>
    <w:rsid w:val="00A436DF"/>
    <w:rsid w:val="00A4460B"/>
    <w:rsid w:val="00A448AA"/>
    <w:rsid w:val="00A473FA"/>
    <w:rsid w:val="00A52D45"/>
    <w:rsid w:val="00A532EE"/>
    <w:rsid w:val="00A651E0"/>
    <w:rsid w:val="00A6602E"/>
    <w:rsid w:val="00A67C16"/>
    <w:rsid w:val="00A71A04"/>
    <w:rsid w:val="00A72491"/>
    <w:rsid w:val="00A72A16"/>
    <w:rsid w:val="00A76242"/>
    <w:rsid w:val="00A91CB3"/>
    <w:rsid w:val="00AA16F4"/>
    <w:rsid w:val="00AA403D"/>
    <w:rsid w:val="00AB4D3B"/>
    <w:rsid w:val="00AB5E5E"/>
    <w:rsid w:val="00AB64E3"/>
    <w:rsid w:val="00AB650A"/>
    <w:rsid w:val="00AC3774"/>
    <w:rsid w:val="00AC4D36"/>
    <w:rsid w:val="00AC6741"/>
    <w:rsid w:val="00AD784B"/>
    <w:rsid w:val="00AE7139"/>
    <w:rsid w:val="00AF35DE"/>
    <w:rsid w:val="00AF6824"/>
    <w:rsid w:val="00B01DE6"/>
    <w:rsid w:val="00B0566F"/>
    <w:rsid w:val="00B10FFD"/>
    <w:rsid w:val="00B263C0"/>
    <w:rsid w:val="00B3212E"/>
    <w:rsid w:val="00B33DC6"/>
    <w:rsid w:val="00B35AA2"/>
    <w:rsid w:val="00B44389"/>
    <w:rsid w:val="00B47EA0"/>
    <w:rsid w:val="00B54B80"/>
    <w:rsid w:val="00B57DBD"/>
    <w:rsid w:val="00B62A34"/>
    <w:rsid w:val="00B62C97"/>
    <w:rsid w:val="00B62EE1"/>
    <w:rsid w:val="00B66F01"/>
    <w:rsid w:val="00B70E33"/>
    <w:rsid w:val="00B8181F"/>
    <w:rsid w:val="00B85F6B"/>
    <w:rsid w:val="00B93602"/>
    <w:rsid w:val="00B9398B"/>
    <w:rsid w:val="00BA5C88"/>
    <w:rsid w:val="00BB29C9"/>
    <w:rsid w:val="00BB6D00"/>
    <w:rsid w:val="00BC169A"/>
    <w:rsid w:val="00BC6E9B"/>
    <w:rsid w:val="00BC6F34"/>
    <w:rsid w:val="00BD2863"/>
    <w:rsid w:val="00BD65E2"/>
    <w:rsid w:val="00BD7BF4"/>
    <w:rsid w:val="00BE0CD8"/>
    <w:rsid w:val="00BE3DBD"/>
    <w:rsid w:val="00BE56E8"/>
    <w:rsid w:val="00BE6D5F"/>
    <w:rsid w:val="00BF476B"/>
    <w:rsid w:val="00BF72BD"/>
    <w:rsid w:val="00C12D3D"/>
    <w:rsid w:val="00C2140D"/>
    <w:rsid w:val="00C2594A"/>
    <w:rsid w:val="00C2623C"/>
    <w:rsid w:val="00C369AF"/>
    <w:rsid w:val="00C40E58"/>
    <w:rsid w:val="00C413FB"/>
    <w:rsid w:val="00C4471F"/>
    <w:rsid w:val="00C469F5"/>
    <w:rsid w:val="00C5004E"/>
    <w:rsid w:val="00C57105"/>
    <w:rsid w:val="00C610B6"/>
    <w:rsid w:val="00C64D96"/>
    <w:rsid w:val="00C67975"/>
    <w:rsid w:val="00C71201"/>
    <w:rsid w:val="00C71402"/>
    <w:rsid w:val="00C72E5D"/>
    <w:rsid w:val="00C740A7"/>
    <w:rsid w:val="00C74FE6"/>
    <w:rsid w:val="00C7656D"/>
    <w:rsid w:val="00C77EB9"/>
    <w:rsid w:val="00C8088F"/>
    <w:rsid w:val="00C85676"/>
    <w:rsid w:val="00C87CC3"/>
    <w:rsid w:val="00C95EC4"/>
    <w:rsid w:val="00CA1205"/>
    <w:rsid w:val="00CA48E7"/>
    <w:rsid w:val="00CA666C"/>
    <w:rsid w:val="00CA7AEF"/>
    <w:rsid w:val="00CB13D4"/>
    <w:rsid w:val="00CB3BE1"/>
    <w:rsid w:val="00CB4DCA"/>
    <w:rsid w:val="00CC1FF4"/>
    <w:rsid w:val="00CC4080"/>
    <w:rsid w:val="00CD3DA2"/>
    <w:rsid w:val="00CD787A"/>
    <w:rsid w:val="00CE00CF"/>
    <w:rsid w:val="00CE13F9"/>
    <w:rsid w:val="00CE5EEE"/>
    <w:rsid w:val="00CF781D"/>
    <w:rsid w:val="00D02238"/>
    <w:rsid w:val="00D04B3C"/>
    <w:rsid w:val="00D20F08"/>
    <w:rsid w:val="00D21895"/>
    <w:rsid w:val="00D32E5C"/>
    <w:rsid w:val="00D3660F"/>
    <w:rsid w:val="00D41C65"/>
    <w:rsid w:val="00D45AEE"/>
    <w:rsid w:val="00D479A6"/>
    <w:rsid w:val="00D54250"/>
    <w:rsid w:val="00D5588B"/>
    <w:rsid w:val="00D56360"/>
    <w:rsid w:val="00D60523"/>
    <w:rsid w:val="00D66286"/>
    <w:rsid w:val="00D71719"/>
    <w:rsid w:val="00D754CB"/>
    <w:rsid w:val="00D817F7"/>
    <w:rsid w:val="00D86CD2"/>
    <w:rsid w:val="00DA1B06"/>
    <w:rsid w:val="00DA3954"/>
    <w:rsid w:val="00DB22F3"/>
    <w:rsid w:val="00DB6A92"/>
    <w:rsid w:val="00DC3353"/>
    <w:rsid w:val="00DC51F5"/>
    <w:rsid w:val="00DC6795"/>
    <w:rsid w:val="00DD5408"/>
    <w:rsid w:val="00DD5AD1"/>
    <w:rsid w:val="00DD7B12"/>
    <w:rsid w:val="00DE2368"/>
    <w:rsid w:val="00DE4513"/>
    <w:rsid w:val="00DF46B0"/>
    <w:rsid w:val="00E13A2F"/>
    <w:rsid w:val="00E2355B"/>
    <w:rsid w:val="00E238C2"/>
    <w:rsid w:val="00E35EB0"/>
    <w:rsid w:val="00E40EC2"/>
    <w:rsid w:val="00E500CF"/>
    <w:rsid w:val="00E534E2"/>
    <w:rsid w:val="00E71288"/>
    <w:rsid w:val="00E71A93"/>
    <w:rsid w:val="00E73DB1"/>
    <w:rsid w:val="00E84C69"/>
    <w:rsid w:val="00E90B24"/>
    <w:rsid w:val="00E96A71"/>
    <w:rsid w:val="00EA1B3D"/>
    <w:rsid w:val="00EA320B"/>
    <w:rsid w:val="00EA4206"/>
    <w:rsid w:val="00EB20DA"/>
    <w:rsid w:val="00EB306D"/>
    <w:rsid w:val="00EB6A30"/>
    <w:rsid w:val="00EC662F"/>
    <w:rsid w:val="00ED3668"/>
    <w:rsid w:val="00ED3E4E"/>
    <w:rsid w:val="00ED451C"/>
    <w:rsid w:val="00EF279E"/>
    <w:rsid w:val="00EF2F58"/>
    <w:rsid w:val="00EF4E0F"/>
    <w:rsid w:val="00EF5055"/>
    <w:rsid w:val="00EF67B3"/>
    <w:rsid w:val="00EF6D03"/>
    <w:rsid w:val="00EF748F"/>
    <w:rsid w:val="00EF780B"/>
    <w:rsid w:val="00F04C7B"/>
    <w:rsid w:val="00F0521B"/>
    <w:rsid w:val="00F16AC6"/>
    <w:rsid w:val="00F22D6B"/>
    <w:rsid w:val="00F26062"/>
    <w:rsid w:val="00F3247D"/>
    <w:rsid w:val="00F337F6"/>
    <w:rsid w:val="00F45833"/>
    <w:rsid w:val="00F5394D"/>
    <w:rsid w:val="00F53FC5"/>
    <w:rsid w:val="00F64443"/>
    <w:rsid w:val="00F819D3"/>
    <w:rsid w:val="00F83DF3"/>
    <w:rsid w:val="00F92697"/>
    <w:rsid w:val="00F9323F"/>
    <w:rsid w:val="00F9702A"/>
    <w:rsid w:val="00FA1238"/>
    <w:rsid w:val="00FA3104"/>
    <w:rsid w:val="00FA31B2"/>
    <w:rsid w:val="00FB2E48"/>
    <w:rsid w:val="00FB3F38"/>
    <w:rsid w:val="00FC0343"/>
    <w:rsid w:val="00FD73A1"/>
    <w:rsid w:val="00FE27D9"/>
    <w:rsid w:val="00FE6AD8"/>
    <w:rsid w:val="00FF32E7"/>
    <w:rsid w:val="00FF363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27721"/>
  <w15:docId w15:val="{A63175AE-4199-451E-B05E-4B7A80D46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1B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Bulleted Text,Bullet List,Indent Normal,Paragraph,Table of contents numbered,Standard Paragraph,List Paragraph 1,List Paragraph1,Normal for Tables,LIST,BULLETS,EOH bullet,Use Case List Paragraph,EOH paragraph,Figure_name,Table (List),lp1"/>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aliases w:val="Bulleted Text Char,Bullet List Char,Indent Normal Char,Paragraph Char,Table of contents numbered Char,Standard Paragraph Char,List Paragraph 1 Char,List Paragraph1 Char,Normal for Tables Char,LIST Char,BULLETS Char,EOH bullet Char"/>
    <w:link w:val="ListParagraph"/>
    <w:uiPriority w:val="34"/>
    <w:rsid w:val="006E14B5"/>
    <w:rPr>
      <w:rFonts w:ascii="Times New Roman" w:eastAsia="Times New Roman" w:hAnsi="Times New Roman" w:cs="Times New Roman"/>
      <w:sz w:val="24"/>
      <w:szCs w:val="20"/>
      <w:lang w:val="en-US"/>
    </w:rPr>
  </w:style>
  <w:style w:type="paragraph" w:styleId="Revision">
    <w:name w:val="Revision"/>
    <w:hidden/>
    <w:uiPriority w:val="99"/>
    <w:semiHidden/>
    <w:rsid w:val="00B33DC6"/>
    <w:pPr>
      <w:spacing w:after="0" w:line="240" w:lineRule="auto"/>
    </w:pPr>
    <w:rPr>
      <w:rFonts w:ascii="Times New Roman" w:eastAsia="Times New Roman" w:hAnsi="Times New Roman" w:cs="Times New Roman"/>
      <w:sz w:val="24"/>
      <w:szCs w:val="20"/>
      <w:lang w:val="en-US"/>
    </w:rPr>
  </w:style>
  <w:style w:type="paragraph" w:customStyle="1" w:styleId="Default">
    <w:name w:val="Default"/>
    <w:rsid w:val="00690753"/>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042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220365142">
      <w:bodyDiv w:val="1"/>
      <w:marLeft w:val="0"/>
      <w:marRight w:val="0"/>
      <w:marTop w:val="0"/>
      <w:marBottom w:val="0"/>
      <w:divBdr>
        <w:top w:val="none" w:sz="0" w:space="0" w:color="auto"/>
        <w:left w:val="none" w:sz="0" w:space="0" w:color="auto"/>
        <w:bottom w:val="none" w:sz="0" w:space="0" w:color="auto"/>
        <w:right w:val="none" w:sz="0" w:space="0" w:color="auto"/>
      </w:divBdr>
    </w:div>
    <w:div w:id="131841354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700004875">
      <w:bodyDiv w:val="1"/>
      <w:marLeft w:val="0"/>
      <w:marRight w:val="0"/>
      <w:marTop w:val="0"/>
      <w:marBottom w:val="0"/>
      <w:divBdr>
        <w:top w:val="none" w:sz="0" w:space="0" w:color="auto"/>
        <w:left w:val="none" w:sz="0" w:space="0" w:color="auto"/>
        <w:bottom w:val="none" w:sz="0" w:space="0" w:color="auto"/>
        <w:right w:val="none" w:sz="0" w:space="0" w:color="auto"/>
      </w:divBdr>
    </w:div>
    <w:div w:id="1733964012">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 w:id="2011715223">
      <w:bodyDiv w:val="1"/>
      <w:marLeft w:val="0"/>
      <w:marRight w:val="0"/>
      <w:marTop w:val="0"/>
      <w:marBottom w:val="0"/>
      <w:divBdr>
        <w:top w:val="none" w:sz="0" w:space="0" w:color="auto"/>
        <w:left w:val="none" w:sz="0" w:space="0" w:color="auto"/>
        <w:bottom w:val="none" w:sz="0" w:space="0" w:color="auto"/>
        <w:right w:val="none" w:sz="0" w:space="0" w:color="auto"/>
      </w:divBdr>
    </w:div>
    <w:div w:id="2099597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6A0CB-8882-48C3-A328-9D5936D1F4C2}">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1810</Words>
  <Characters>10321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Gustav Phaahla</cp:lastModifiedBy>
  <cp:revision>2</cp:revision>
  <cp:lastPrinted>2025-05-30T12:41:00Z</cp:lastPrinted>
  <dcterms:created xsi:type="dcterms:W3CDTF">2025-07-21T14:30:00Z</dcterms:created>
  <dcterms:modified xsi:type="dcterms:W3CDTF">2025-07-21T14:30:00Z</dcterms:modified>
</cp:coreProperties>
</file>