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F0521B" w:rsidRPr="00A919B1" w14:paraId="345D2081" w14:textId="77777777" w:rsidTr="00EC662F">
        <w:tc>
          <w:tcPr>
            <w:tcW w:w="3227" w:type="dxa"/>
          </w:tcPr>
          <w:p w14:paraId="098F0D30"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5953" w:type="dxa"/>
          </w:tcPr>
          <w:p w14:paraId="4FF991D9" w14:textId="236EFC01" w:rsidR="00F0521B" w:rsidRPr="00F0521B" w:rsidRDefault="005A140D" w:rsidP="006B3FA2">
            <w:pPr>
              <w:spacing w:before="60" w:after="60" w:line="276" w:lineRule="auto"/>
              <w:jc w:val="both"/>
              <w:rPr>
                <w:rFonts w:ascii="Arial" w:hAnsi="Arial" w:cs="Arial"/>
                <w:sz w:val="20"/>
              </w:rPr>
            </w:pPr>
            <w:r>
              <w:rPr>
                <w:rFonts w:ascii="Arial" w:hAnsi="Arial" w:cs="Arial"/>
                <w:sz w:val="20"/>
              </w:rPr>
              <w:t>Kriel Power Station</w:t>
            </w:r>
          </w:p>
        </w:tc>
      </w:tr>
      <w:tr w:rsidR="00607D65" w:rsidRPr="00A919B1" w14:paraId="50BFEE67" w14:textId="77777777" w:rsidTr="00EC662F">
        <w:tc>
          <w:tcPr>
            <w:tcW w:w="3227" w:type="dxa"/>
          </w:tcPr>
          <w:p w14:paraId="73B4B333" w14:textId="77777777" w:rsidR="00607D65" w:rsidRPr="00EB6A30" w:rsidRDefault="00607D65"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120B99D6" w:rsidR="00EC662F" w:rsidRPr="00336747" w:rsidRDefault="005A140D" w:rsidP="00880865">
            <w:pPr>
              <w:spacing w:line="360" w:lineRule="auto"/>
              <w:jc w:val="both"/>
              <w:rPr>
                <w:rFonts w:ascii="Arial" w:hAnsi="Arial" w:cs="Arial"/>
                <w:sz w:val="20"/>
                <w:lang w:val="en-ZA"/>
              </w:rPr>
            </w:pPr>
            <w:r w:rsidRPr="005A140D">
              <w:rPr>
                <w:rFonts w:ascii="Arial" w:hAnsi="Arial" w:cs="Arial"/>
                <w:sz w:val="20"/>
              </w:rPr>
              <w:t>Turbine and Boiler pressure safety valves refurbishment from Unit 1 to 6</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04407D2A" w:rsidR="00EB6A30" w:rsidRPr="00F0521B" w:rsidRDefault="005A140D" w:rsidP="00EB03A4">
            <w:pPr>
              <w:spacing w:before="60" w:after="60" w:line="276" w:lineRule="auto"/>
              <w:jc w:val="both"/>
              <w:rPr>
                <w:rFonts w:ascii="Arial" w:hAnsi="Arial" w:cs="Arial"/>
                <w:sz w:val="20"/>
              </w:rPr>
            </w:pPr>
            <w:r>
              <w:rPr>
                <w:rFonts w:ascii="Arial" w:hAnsi="Arial" w:cs="Arial"/>
                <w:sz w:val="20"/>
              </w:rPr>
              <w:t>60 months</w:t>
            </w:r>
          </w:p>
        </w:tc>
      </w:tr>
      <w:tr w:rsidR="00EB6A30" w:rsidRPr="003D78F9" w14:paraId="46A2D74A" w14:textId="77777777" w:rsidTr="00EC662F">
        <w:tc>
          <w:tcPr>
            <w:tcW w:w="3227" w:type="dxa"/>
          </w:tcPr>
          <w:p w14:paraId="4B24E673"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Budget</w:t>
            </w:r>
          </w:p>
        </w:tc>
        <w:tc>
          <w:tcPr>
            <w:tcW w:w="5953" w:type="dxa"/>
          </w:tcPr>
          <w:p w14:paraId="61A9B573" w14:textId="33F7202E" w:rsidR="00EB6A30" w:rsidRPr="00CF781D" w:rsidRDefault="006F7826" w:rsidP="00914474">
            <w:pPr>
              <w:jc w:val="both"/>
              <w:rPr>
                <w:rFonts w:ascii="Arial" w:hAnsi="Arial" w:cs="Arial"/>
                <w:sz w:val="20"/>
              </w:rPr>
            </w:pPr>
            <w:r>
              <w:rPr>
                <w:rFonts w:ascii="Arial" w:hAnsi="Arial" w:cs="Arial"/>
                <w:sz w:val="20"/>
              </w:rPr>
              <w:t>XXXXXX</w:t>
            </w:r>
          </w:p>
        </w:tc>
      </w:tr>
      <w:tr w:rsidR="00304117" w:rsidRPr="00A919B1" w14:paraId="58EFAEA9" w14:textId="77777777" w:rsidTr="00EC662F">
        <w:tc>
          <w:tcPr>
            <w:tcW w:w="3227" w:type="dxa"/>
          </w:tcPr>
          <w:p w14:paraId="702A1BE7" w14:textId="77777777" w:rsidR="00304117" w:rsidRPr="003D78F9" w:rsidRDefault="00304117" w:rsidP="00304117">
            <w:pPr>
              <w:spacing w:before="60" w:after="60" w:line="276" w:lineRule="auto"/>
              <w:rPr>
                <w:rFonts w:ascii="Arial" w:hAnsi="Arial" w:cs="Arial"/>
                <w:b/>
                <w:sz w:val="22"/>
              </w:rPr>
            </w:pPr>
            <w:r w:rsidRPr="003D78F9">
              <w:rPr>
                <w:rFonts w:ascii="Arial" w:hAnsi="Arial" w:cs="Arial"/>
                <w:b/>
                <w:sz w:val="22"/>
              </w:rPr>
              <w:t>Name of Buyer</w:t>
            </w:r>
          </w:p>
        </w:tc>
        <w:tc>
          <w:tcPr>
            <w:tcW w:w="5953" w:type="dxa"/>
          </w:tcPr>
          <w:p w14:paraId="1A7D6DF2" w14:textId="5FCA4539" w:rsidR="00304117" w:rsidRPr="00CF781D" w:rsidRDefault="005A140D" w:rsidP="00F0521B">
            <w:pPr>
              <w:spacing w:before="60" w:after="60" w:line="276" w:lineRule="auto"/>
              <w:jc w:val="both"/>
              <w:rPr>
                <w:rFonts w:ascii="Arial" w:hAnsi="Arial" w:cs="Arial"/>
                <w:sz w:val="20"/>
              </w:rPr>
            </w:pPr>
            <w:r>
              <w:rPr>
                <w:rFonts w:ascii="Arial" w:hAnsi="Arial" w:cs="Arial"/>
                <w:sz w:val="20"/>
              </w:rPr>
              <w:t>Matlou Maremane</w:t>
            </w:r>
          </w:p>
        </w:tc>
      </w:tr>
    </w:tbl>
    <w:p w14:paraId="7E0C69C0" w14:textId="1D221DFE" w:rsidR="00EB6A30" w:rsidRPr="005B5A73" w:rsidRDefault="00EB6A30" w:rsidP="00EB6A30">
      <w:pPr>
        <w:spacing w:line="276" w:lineRule="auto"/>
        <w:rPr>
          <w:rFonts w:ascii="Arial" w:hAnsi="Arial" w:cs="Arial"/>
          <w:sz w:val="16"/>
          <w:szCs w:val="16"/>
        </w:rPr>
      </w:pPr>
    </w:p>
    <w:p w14:paraId="38312E40" w14:textId="4ADA0724" w:rsidR="006F7826" w:rsidRDefault="006F7826" w:rsidP="006F7826">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2950D455" w14:textId="77777777" w:rsidR="00111B2E" w:rsidRPr="00111B2E" w:rsidRDefault="00111B2E" w:rsidP="006F7826">
      <w:pPr>
        <w:spacing w:before="60" w:after="60"/>
        <w:rPr>
          <w:rFonts w:ascii="Arial" w:hAnsi="Arial" w:cs="Arial"/>
          <w:bCs/>
          <w:sz w:val="16"/>
          <w:szCs w:val="16"/>
        </w:rPr>
      </w:pPr>
    </w:p>
    <w:p w14:paraId="51C81B40" w14:textId="77777777" w:rsidR="006F7826" w:rsidRPr="00C91C74"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p>
    <w:p w14:paraId="04CA4377" w14:textId="77777777" w:rsidR="006F7826" w:rsidRPr="00C91C74"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tender. The points scored for the specific goal must be added to the points scored for price and the</w:t>
      </w:r>
    </w:p>
    <w:p w14:paraId="5E8ADE35" w14:textId="77777777" w:rsidR="006F7826" w:rsidRPr="00C91C74"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total must be rounded off to the nearest two decimal places. Subject to section 2(1)(f) of the</w:t>
      </w:r>
    </w:p>
    <w:p w14:paraId="107B7704" w14:textId="77777777" w:rsidR="006F7826" w:rsidRPr="00C91C74"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Preferential Procurement Policy Framework Act, the contract must be awarded to the tenderer</w:t>
      </w:r>
    </w:p>
    <w:p w14:paraId="6B918D2C" w14:textId="77777777" w:rsidR="006F7826" w:rsidRDefault="006F7826" w:rsidP="005B5A73">
      <w:pPr>
        <w:spacing w:after="200" w:line="276" w:lineRule="auto"/>
        <w:contextualSpacing/>
        <w:jc w:val="both"/>
        <w:rPr>
          <w:rFonts w:ascii="Arial" w:hAnsi="Arial" w:cs="Arial"/>
          <w:bCs/>
          <w:sz w:val="20"/>
          <w:lang w:val="en-ZA"/>
        </w:rPr>
      </w:pP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6F7826" w:rsidRPr="00D33E30" w14:paraId="37B4AF07" w14:textId="77777777" w:rsidTr="00946ACB">
        <w:trPr>
          <w:trHeight w:val="863"/>
        </w:trPr>
        <w:tc>
          <w:tcPr>
            <w:tcW w:w="3391" w:type="dxa"/>
            <w:shd w:val="clear" w:color="auto" w:fill="C00000"/>
            <w:vAlign w:val="center"/>
          </w:tcPr>
          <w:p w14:paraId="7445F116"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A3EC171"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148FEDFC"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70A99F88"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65A0D15"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6F7826" w:rsidRPr="00D33E30" w14:paraId="18ED302D" w14:textId="77777777" w:rsidTr="00946ACB">
        <w:trPr>
          <w:trHeight w:val="317"/>
        </w:trPr>
        <w:tc>
          <w:tcPr>
            <w:tcW w:w="3391" w:type="dxa"/>
            <w:shd w:val="clear" w:color="auto" w:fill="auto"/>
          </w:tcPr>
          <w:p w14:paraId="29AB759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31C9DCD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282B1C6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6F7826" w:rsidRPr="00D33E30" w14:paraId="1E56ED5E" w14:textId="77777777" w:rsidTr="00946ACB">
        <w:trPr>
          <w:trHeight w:val="317"/>
        </w:trPr>
        <w:tc>
          <w:tcPr>
            <w:tcW w:w="3391" w:type="dxa"/>
            <w:shd w:val="clear" w:color="auto" w:fill="auto"/>
          </w:tcPr>
          <w:p w14:paraId="5E5DEDE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547BF88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2F93AF1"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6F7826" w:rsidRPr="00D33E30" w14:paraId="79AF9155" w14:textId="77777777" w:rsidTr="00946ACB">
        <w:trPr>
          <w:trHeight w:val="317"/>
        </w:trPr>
        <w:tc>
          <w:tcPr>
            <w:tcW w:w="3391" w:type="dxa"/>
            <w:shd w:val="clear" w:color="auto" w:fill="auto"/>
          </w:tcPr>
          <w:p w14:paraId="07DD035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4D70D48"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09255EB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6F7826" w:rsidRPr="00D33E30" w14:paraId="3AC053ED" w14:textId="77777777" w:rsidTr="00946ACB">
        <w:trPr>
          <w:trHeight w:val="317"/>
        </w:trPr>
        <w:tc>
          <w:tcPr>
            <w:tcW w:w="3391" w:type="dxa"/>
            <w:shd w:val="clear" w:color="auto" w:fill="auto"/>
          </w:tcPr>
          <w:p w14:paraId="5F67579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A97793F" w14:textId="77777777" w:rsidR="006F7826" w:rsidRPr="00D33E30" w:rsidRDefault="006F7826" w:rsidP="00946ACB">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40132D5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6F7826" w:rsidRPr="00D33E30" w14:paraId="128B63FF" w14:textId="77777777" w:rsidTr="00946ACB">
        <w:trPr>
          <w:trHeight w:val="317"/>
        </w:trPr>
        <w:tc>
          <w:tcPr>
            <w:tcW w:w="3391" w:type="dxa"/>
            <w:shd w:val="clear" w:color="auto" w:fill="auto"/>
          </w:tcPr>
          <w:p w14:paraId="7F6090B2"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369C088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1B010E3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6F7826" w:rsidRPr="00D33E30" w14:paraId="4EE474ED" w14:textId="77777777" w:rsidTr="00946ACB">
        <w:trPr>
          <w:trHeight w:val="317"/>
        </w:trPr>
        <w:tc>
          <w:tcPr>
            <w:tcW w:w="3391" w:type="dxa"/>
            <w:shd w:val="clear" w:color="auto" w:fill="auto"/>
          </w:tcPr>
          <w:p w14:paraId="0887E57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607A9FB4"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5B4DB34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6F7826" w:rsidRPr="00D33E30" w14:paraId="309AC553" w14:textId="77777777" w:rsidTr="00946ACB">
        <w:trPr>
          <w:trHeight w:val="317"/>
        </w:trPr>
        <w:tc>
          <w:tcPr>
            <w:tcW w:w="3391" w:type="dxa"/>
            <w:shd w:val="clear" w:color="auto" w:fill="auto"/>
          </w:tcPr>
          <w:p w14:paraId="2D668DC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5259D16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5AC41D0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6F7826" w:rsidRPr="00D33E30" w14:paraId="711E9FF1" w14:textId="77777777" w:rsidTr="00946ACB">
        <w:trPr>
          <w:trHeight w:val="317"/>
        </w:trPr>
        <w:tc>
          <w:tcPr>
            <w:tcW w:w="3391" w:type="dxa"/>
            <w:shd w:val="clear" w:color="auto" w:fill="auto"/>
          </w:tcPr>
          <w:p w14:paraId="3C90DFF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CEBCB6A"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1CE7511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6F7826" w:rsidRPr="00D33E30" w14:paraId="7AB7850E" w14:textId="77777777" w:rsidTr="00946ACB">
        <w:trPr>
          <w:trHeight w:val="317"/>
        </w:trPr>
        <w:tc>
          <w:tcPr>
            <w:tcW w:w="3391" w:type="dxa"/>
            <w:shd w:val="clear" w:color="auto" w:fill="auto"/>
          </w:tcPr>
          <w:p w14:paraId="3EEAD06B"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514A7A0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3139351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0652C25"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Valid B-BBEE certificate issued by a SANAS accredited verification agency / sworn affidavit / CIPS affidavit</w:t>
      </w:r>
    </w:p>
    <w:p w14:paraId="345B5ECF"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ownership / shareholding (preferably CIPC documentation) inclusive of shareholding breakdown</w:t>
      </w:r>
    </w:p>
    <w:p w14:paraId="3050FD19"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Certified ID copies of shareholder(s)</w:t>
      </w:r>
    </w:p>
    <w:p w14:paraId="2E0A7004" w14:textId="2DE01C2C" w:rsidR="006F7826"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Disability (where applicable)</w:t>
      </w:r>
    </w:p>
    <w:p w14:paraId="09A599C8" w14:textId="463497DA" w:rsidR="00CA337A" w:rsidRPr="005A140D" w:rsidRDefault="00CA337A" w:rsidP="006F7826">
      <w:pPr>
        <w:pStyle w:val="ListParagraph"/>
        <w:numPr>
          <w:ilvl w:val="0"/>
          <w:numId w:val="39"/>
        </w:numPr>
        <w:spacing w:after="200" w:line="276" w:lineRule="auto"/>
        <w:jc w:val="both"/>
        <w:rPr>
          <w:rFonts w:ascii="Arial" w:hAnsi="Arial" w:cs="Arial"/>
          <w:bCs/>
          <w:sz w:val="20"/>
          <w:lang w:val="en-ZA"/>
        </w:rPr>
      </w:pPr>
      <w:r w:rsidRPr="005A140D">
        <w:rPr>
          <w:rFonts w:ascii="Arial" w:hAnsi="Arial" w:cs="Arial"/>
          <w:bCs/>
          <w:sz w:val="20"/>
          <w:lang w:val="en-ZA"/>
        </w:rPr>
        <w:t>In a case of a trust, consortium or joint venture (including incorporated consortia and joint ventures),a consolidated B-BBEE status level verification certificate.</w:t>
      </w:r>
    </w:p>
    <w:p w14:paraId="61780B50"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5556EF4D"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032744C1"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0484581A" w14:textId="48B2BEC6" w:rsidR="00546E27" w:rsidRPr="00EB6A30" w:rsidRDefault="00546E27" w:rsidP="00546E27">
      <w:pPr>
        <w:spacing w:after="200" w:line="276" w:lineRule="auto"/>
        <w:rPr>
          <w:rFonts w:ascii="Arial" w:hAnsi="Arial" w:cs="Arial"/>
          <w:b/>
          <w:sz w:val="22"/>
        </w:rPr>
      </w:pPr>
      <w:r>
        <w:rPr>
          <w:rFonts w:ascii="Arial" w:hAnsi="Arial" w:cs="Arial"/>
          <w:b/>
        </w:rPr>
        <w:lastRenderedPageBreak/>
        <w:t>S</w:t>
      </w:r>
      <w:r w:rsidRPr="00EB6A30">
        <w:rPr>
          <w:rFonts w:ascii="Arial" w:hAnsi="Arial" w:cs="Arial"/>
          <w:b/>
          <w:sz w:val="22"/>
        </w:rPr>
        <w:t xml:space="preserve">ection </w:t>
      </w:r>
      <w:r w:rsidR="005A140D">
        <w:rPr>
          <w:rFonts w:ascii="Arial" w:hAnsi="Arial" w:cs="Arial"/>
          <w:b/>
          <w:sz w:val="22"/>
        </w:rPr>
        <w:t>2</w:t>
      </w:r>
      <w:r w:rsidRPr="00EB6A30">
        <w:rPr>
          <w:rFonts w:ascii="Arial" w:hAnsi="Arial" w:cs="Arial"/>
          <w:b/>
          <w:sz w:val="22"/>
        </w:rPr>
        <w:t xml:space="preserve">: </w:t>
      </w:r>
      <w:bookmarkStart w:id="0" w:name="_Hlk124873330"/>
      <w:r w:rsidRPr="008F177A">
        <w:rPr>
          <w:rFonts w:ascii="Arial" w:hAnsi="Arial" w:cs="Arial"/>
          <w:b/>
        </w:rPr>
        <w:t>SDL&amp;I Objectives in line with Reconstruction and Development Programme (RDP) Goals</w:t>
      </w:r>
    </w:p>
    <w:tbl>
      <w:tblPr>
        <w:tblStyle w:val="TableGrid"/>
        <w:tblW w:w="0" w:type="auto"/>
        <w:tblLook w:val="04A0" w:firstRow="1" w:lastRow="0" w:firstColumn="1" w:lastColumn="0" w:noHBand="0" w:noVBand="1"/>
      </w:tblPr>
      <w:tblGrid>
        <w:gridCol w:w="9016"/>
      </w:tblGrid>
      <w:tr w:rsidR="00546E27" w:rsidRPr="000C5130" w14:paraId="47F124AD" w14:textId="77777777" w:rsidTr="00065BFD">
        <w:tc>
          <w:tcPr>
            <w:tcW w:w="9016" w:type="dxa"/>
            <w:shd w:val="clear" w:color="auto" w:fill="000000" w:themeFill="text1"/>
          </w:tcPr>
          <w:bookmarkEnd w:id="0"/>
          <w:p w14:paraId="1B4F3000" w14:textId="070492CB" w:rsidR="00546E27" w:rsidRPr="000C5130" w:rsidRDefault="00546E27" w:rsidP="00065BFD">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 xml:space="preserve">s do not form part of </w:t>
            </w:r>
            <w:r w:rsidR="005A140D" w:rsidRPr="000C5130">
              <w:rPr>
                <w:rFonts w:ascii="Arial" w:hAnsi="Arial" w:cs="Arial"/>
                <w:sz w:val="20"/>
              </w:rPr>
              <w:t>scoring,</w:t>
            </w:r>
            <w:r w:rsidRPr="000C5130">
              <w:rPr>
                <w:rFonts w:ascii="Arial" w:hAnsi="Arial" w:cs="Arial"/>
                <w:sz w:val="20"/>
              </w:rPr>
              <w:t xml:space="preserve"> but commitments will form part of contractual obligations</w:t>
            </w:r>
          </w:p>
        </w:tc>
      </w:tr>
      <w:tr w:rsidR="00546E27" w:rsidRPr="000C5130" w14:paraId="61CC959F" w14:textId="77777777" w:rsidTr="005A140D">
        <w:trPr>
          <w:trHeight w:val="1698"/>
        </w:trPr>
        <w:tc>
          <w:tcPr>
            <w:tcW w:w="9016" w:type="dxa"/>
            <w:shd w:val="clear" w:color="auto" w:fill="FFFFFF" w:themeFill="background1"/>
          </w:tcPr>
          <w:p w14:paraId="38C567E2" w14:textId="00AA625A" w:rsidR="00E855AE" w:rsidRDefault="00E855AE" w:rsidP="00E855AE">
            <w:pPr>
              <w:tabs>
                <w:tab w:val="left" w:pos="720"/>
              </w:tabs>
              <w:spacing w:line="360" w:lineRule="auto"/>
              <w:jc w:val="both"/>
              <w:rPr>
                <w:rFonts w:ascii="Arial" w:hAnsi="Arial" w:cs="Arial"/>
                <w:sz w:val="20"/>
              </w:rPr>
            </w:pPr>
          </w:p>
          <w:p w14:paraId="3635C39E" w14:textId="7B2A5EFC" w:rsidR="00E855AE" w:rsidRPr="00B11F74" w:rsidRDefault="00E855AE" w:rsidP="00E855AE">
            <w:pPr>
              <w:tabs>
                <w:tab w:val="left" w:pos="720"/>
              </w:tabs>
              <w:spacing w:line="360" w:lineRule="auto"/>
              <w:jc w:val="both"/>
              <w:rPr>
                <w:rFonts w:ascii="Arial" w:hAnsi="Arial" w:cs="Arial"/>
                <w:sz w:val="20"/>
              </w:rPr>
            </w:pPr>
            <w:r w:rsidRPr="00E855AE">
              <w:rPr>
                <w:rFonts w:ascii="Arial" w:hAnsi="Arial" w:cs="Arial"/>
                <w:b/>
                <w:bCs/>
                <w:sz w:val="20"/>
              </w:rPr>
              <w:t>1.</w:t>
            </w:r>
            <w:r>
              <w:rPr>
                <w:rFonts w:ascii="Arial" w:hAnsi="Arial" w:cs="Arial"/>
                <w:sz w:val="20"/>
              </w:rPr>
              <w:t xml:space="preserve"> </w:t>
            </w:r>
            <w:r w:rsidRPr="00B11F74">
              <w:rPr>
                <w:rFonts w:ascii="Arial" w:hAnsi="Arial" w:cs="Arial"/>
                <w:b/>
                <w:sz w:val="22"/>
                <w:szCs w:val="22"/>
              </w:rPr>
              <w:t>Transformation – BBBEE Improvement or Retention Plan</w:t>
            </w:r>
          </w:p>
          <w:p w14:paraId="479E6774" w14:textId="77777777" w:rsidR="00E855AE" w:rsidRPr="00DD747B" w:rsidRDefault="00E855AE" w:rsidP="00E855AE">
            <w:pPr>
              <w:pStyle w:val="ListParagraph"/>
              <w:spacing w:after="200" w:line="360" w:lineRule="auto"/>
              <w:ind w:left="0"/>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22F3ABED" w14:textId="77777777" w:rsidR="00E855AE" w:rsidRPr="00DD747B" w:rsidRDefault="00E855AE" w:rsidP="00E855AE">
            <w:pPr>
              <w:pStyle w:val="ListParagraph"/>
              <w:spacing w:after="200" w:line="360" w:lineRule="auto"/>
              <w:ind w:left="0"/>
              <w:jc w:val="both"/>
              <w:rPr>
                <w:rFonts w:ascii="Arial" w:hAnsi="Arial" w:cs="Arial"/>
                <w:sz w:val="16"/>
                <w:szCs w:val="16"/>
              </w:rPr>
            </w:pPr>
          </w:p>
          <w:p w14:paraId="79177451" w14:textId="77777777" w:rsidR="00E855AE" w:rsidRPr="00DD747B" w:rsidRDefault="00E855AE" w:rsidP="00E855AE">
            <w:pPr>
              <w:pStyle w:val="ListParagraph"/>
              <w:spacing w:after="200" w:line="360" w:lineRule="auto"/>
              <w:ind w:left="0"/>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13D643BC" w14:textId="77777777" w:rsidR="00E855AE" w:rsidRPr="00DD747B" w:rsidRDefault="00E855AE" w:rsidP="00E855AE">
            <w:pPr>
              <w:pStyle w:val="ListParagraph"/>
              <w:spacing w:after="200" w:line="360" w:lineRule="auto"/>
              <w:ind w:left="0"/>
              <w:jc w:val="both"/>
              <w:rPr>
                <w:rFonts w:ascii="Arial" w:hAnsi="Arial" w:cs="Arial"/>
                <w:sz w:val="16"/>
                <w:szCs w:val="16"/>
              </w:rPr>
            </w:pPr>
          </w:p>
          <w:p w14:paraId="1DF143F6" w14:textId="77777777" w:rsidR="00E855AE" w:rsidRPr="00DD747B" w:rsidRDefault="00E855AE" w:rsidP="00E855AE">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4BC904D7" w14:textId="77777777" w:rsidR="00E855AE" w:rsidRPr="00DD747B" w:rsidRDefault="00E855AE" w:rsidP="00E855AE">
            <w:pPr>
              <w:pStyle w:val="ListParagraph"/>
              <w:spacing w:after="200" w:line="360" w:lineRule="auto"/>
              <w:ind w:left="0"/>
              <w:jc w:val="both"/>
              <w:rPr>
                <w:rFonts w:ascii="Arial" w:hAnsi="Arial" w:cs="Arial"/>
                <w:sz w:val="16"/>
                <w:szCs w:val="16"/>
              </w:rPr>
            </w:pPr>
          </w:p>
          <w:p w14:paraId="79CB8917" w14:textId="77777777" w:rsidR="00E855AE" w:rsidRPr="00DD747B" w:rsidRDefault="00E855AE" w:rsidP="00E855AE">
            <w:pPr>
              <w:pStyle w:val="ListParagraph"/>
              <w:spacing w:after="200" w:line="360" w:lineRule="auto"/>
              <w:ind w:left="0"/>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10572128" w14:textId="77777777" w:rsidR="00E855AE" w:rsidRPr="00DD747B" w:rsidRDefault="00E855AE" w:rsidP="00E855AE">
            <w:pPr>
              <w:pStyle w:val="ListParagraph"/>
              <w:spacing w:after="200" w:line="360" w:lineRule="auto"/>
              <w:ind w:left="0"/>
              <w:jc w:val="both"/>
              <w:rPr>
                <w:rFonts w:ascii="Arial" w:hAnsi="Arial" w:cs="Arial"/>
                <w:sz w:val="16"/>
                <w:szCs w:val="16"/>
              </w:rPr>
            </w:pPr>
          </w:p>
          <w:p w14:paraId="799FC149" w14:textId="77777777" w:rsidR="00E855AE" w:rsidRPr="00DD747B" w:rsidRDefault="00E855AE" w:rsidP="00E855AE">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p>
          <w:p w14:paraId="00C711D9" w14:textId="77777777" w:rsidR="00E855AE" w:rsidRDefault="00E855AE" w:rsidP="00E855AE">
            <w:pPr>
              <w:spacing w:line="360" w:lineRule="auto"/>
              <w:jc w:val="both"/>
              <w:rPr>
                <w:rFonts w:ascii="Arial" w:hAnsi="Arial" w:cs="Arial"/>
                <w:sz w:val="20"/>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 xml:space="preserve">Enterprise therefore you can submit Sworn Affidavit. If your annual Total Revenue is R50 Million or less, you qualify as Qualifying Small Enterprise and must comply with </w:t>
            </w:r>
            <w:proofErr w:type="gramStart"/>
            <w:r w:rsidRPr="00DD747B">
              <w:rPr>
                <w:rFonts w:ascii="Arial" w:hAnsi="Arial" w:cs="Arial"/>
                <w:sz w:val="20"/>
              </w:rPr>
              <w:t>all of</w:t>
            </w:r>
            <w:proofErr w:type="gramEnd"/>
            <w:r w:rsidRPr="00DD747B">
              <w:rPr>
                <w:rFonts w:ascii="Arial" w:hAnsi="Arial" w:cs="Arial"/>
                <w:sz w:val="20"/>
              </w:rPr>
              <w:t xml:space="preserve"> the elements of QSE score card relevant to your sector unless an entity is at least 51% Black owned you are required to obtain a Sworn affidavit. If your Annual Total Revenue is above R50m you need to submit a Valid B-BBEE certificate</w:t>
            </w:r>
          </w:p>
          <w:p w14:paraId="30D14058" w14:textId="77777777" w:rsidR="005A140D" w:rsidRDefault="005A140D" w:rsidP="00E855AE">
            <w:pPr>
              <w:spacing w:line="360" w:lineRule="auto"/>
              <w:jc w:val="both"/>
              <w:rPr>
                <w:sz w:val="20"/>
                <w:lang w:eastAsia="en-ZA"/>
              </w:rPr>
            </w:pPr>
          </w:p>
          <w:p w14:paraId="62401355" w14:textId="77777777" w:rsidR="005A140D" w:rsidRDefault="005A140D" w:rsidP="00E855AE">
            <w:pPr>
              <w:spacing w:line="360" w:lineRule="auto"/>
              <w:jc w:val="both"/>
              <w:rPr>
                <w:sz w:val="20"/>
                <w:lang w:eastAsia="en-ZA"/>
              </w:rPr>
            </w:pPr>
          </w:p>
          <w:p w14:paraId="64381206" w14:textId="77777777" w:rsidR="005A140D" w:rsidRPr="00DD747B" w:rsidRDefault="005A140D" w:rsidP="00E855AE">
            <w:pPr>
              <w:spacing w:line="360" w:lineRule="auto"/>
              <w:jc w:val="both"/>
              <w:rPr>
                <w:sz w:val="20"/>
                <w:lang w:eastAsia="en-ZA"/>
              </w:rPr>
            </w:pPr>
          </w:p>
          <w:p w14:paraId="4BED403A" w14:textId="429F5C87" w:rsidR="00546E27" w:rsidRPr="00E855AE" w:rsidRDefault="00546E27" w:rsidP="00E855AE">
            <w:pPr>
              <w:pStyle w:val="ListParagraph"/>
              <w:numPr>
                <w:ilvl w:val="0"/>
                <w:numId w:val="46"/>
              </w:numPr>
              <w:tabs>
                <w:tab w:val="left" w:pos="720"/>
              </w:tabs>
              <w:spacing w:line="360" w:lineRule="auto"/>
              <w:jc w:val="both"/>
              <w:rPr>
                <w:rFonts w:ascii="Arial" w:hAnsi="Arial" w:cs="Arial"/>
                <w:b/>
                <w:sz w:val="20"/>
                <w:u w:val="single"/>
                <w:lang w:val="en-ZA"/>
              </w:rPr>
            </w:pPr>
            <w:r w:rsidRPr="00E855AE">
              <w:rPr>
                <w:rFonts w:ascii="Arial" w:hAnsi="Arial" w:cs="Arial"/>
                <w:b/>
                <w:sz w:val="20"/>
                <w:u w:val="single"/>
                <w:lang w:val="en-ZA"/>
              </w:rPr>
              <w:lastRenderedPageBreak/>
              <w:t xml:space="preserve">Local Procurement Content </w:t>
            </w:r>
          </w:p>
          <w:p w14:paraId="67C5D134" w14:textId="77777777" w:rsidR="00546E27" w:rsidRDefault="00546E27" w:rsidP="00065BFD">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2AF79374" w14:textId="77777777" w:rsidR="00546E27" w:rsidRDefault="00546E27" w:rsidP="00065BFD">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76E0A1A1" w14:textId="77777777" w:rsidR="00546E27" w:rsidRDefault="00546E27" w:rsidP="00065BFD">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546E27" w14:paraId="7CDD35F8" w14:textId="77777777" w:rsidTr="00065BFD">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22A58B2F" w14:textId="77777777" w:rsidR="00546E27" w:rsidRDefault="00546E27" w:rsidP="00065BFD">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43D960EB" w14:textId="77777777" w:rsidR="00546E27" w:rsidRDefault="00546E27" w:rsidP="00065BFD">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0567DEDB" w14:textId="77777777" w:rsidR="00546E27" w:rsidRDefault="00546E27" w:rsidP="00065BFD">
                  <w:pPr>
                    <w:spacing w:line="276" w:lineRule="auto"/>
                    <w:jc w:val="center"/>
                    <w:rPr>
                      <w:rFonts w:ascii="Arial" w:hAnsi="Arial" w:cs="Arial"/>
                      <w:b/>
                      <w:sz w:val="20"/>
                    </w:rPr>
                  </w:pPr>
                  <w:r>
                    <w:rPr>
                      <w:rFonts w:ascii="Arial" w:hAnsi="Arial" w:cs="Arial"/>
                      <w:b/>
                      <w:sz w:val="20"/>
                    </w:rPr>
                    <w:t>Tenderer Proposal</w:t>
                  </w:r>
                </w:p>
              </w:tc>
            </w:tr>
            <w:tr w:rsidR="00546E27" w14:paraId="128FE3EC" w14:textId="77777777" w:rsidTr="00065BFD">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4D6C770F" w14:textId="77777777" w:rsidR="00546E27" w:rsidRDefault="00546E27" w:rsidP="00065BFD">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55205FFA" w14:textId="77777777" w:rsidR="00546E27" w:rsidRPr="007D4E0A" w:rsidRDefault="00546E27" w:rsidP="00065BFD">
                  <w:pPr>
                    <w:spacing w:line="276" w:lineRule="auto"/>
                    <w:jc w:val="center"/>
                    <w:rPr>
                      <w:rFonts w:ascii="Arial" w:hAnsi="Arial" w:cs="Arial"/>
                      <w:sz w:val="20"/>
                    </w:rPr>
                  </w:pPr>
                  <w:r>
                    <w:rPr>
                      <w:rFonts w:ascii="Arial" w:hAnsi="Arial" w:cs="Arial"/>
                      <w:sz w:val="20"/>
                    </w:rPr>
                    <w:t>100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560ED861" w14:textId="77777777" w:rsidR="00546E27" w:rsidRPr="007D4E0A" w:rsidRDefault="00546E27" w:rsidP="00065BFD">
                  <w:pPr>
                    <w:spacing w:line="276" w:lineRule="auto"/>
                    <w:jc w:val="both"/>
                    <w:rPr>
                      <w:rFonts w:ascii="Arial" w:hAnsi="Arial" w:cs="Arial"/>
                      <w:sz w:val="20"/>
                    </w:rPr>
                  </w:pPr>
                </w:p>
              </w:tc>
            </w:tr>
          </w:tbl>
          <w:p w14:paraId="352790AE" w14:textId="77777777" w:rsidR="00546E27" w:rsidRDefault="00546E27" w:rsidP="00065BFD">
            <w:pPr>
              <w:tabs>
                <w:tab w:val="left" w:pos="720"/>
              </w:tabs>
              <w:spacing w:line="360" w:lineRule="auto"/>
              <w:ind w:left="360"/>
              <w:jc w:val="both"/>
              <w:rPr>
                <w:rFonts w:ascii="Arial" w:hAnsi="Arial" w:cs="Arial"/>
                <w:b/>
                <w:sz w:val="20"/>
                <w:lang w:val="en-ZA"/>
              </w:rPr>
            </w:pPr>
          </w:p>
          <w:p w14:paraId="3C592E28" w14:textId="602ED63F" w:rsidR="00546E27" w:rsidRPr="00E855AE" w:rsidRDefault="00546E27" w:rsidP="00E855AE">
            <w:pPr>
              <w:pStyle w:val="ListParagraph"/>
              <w:numPr>
                <w:ilvl w:val="0"/>
                <w:numId w:val="46"/>
              </w:numPr>
              <w:tabs>
                <w:tab w:val="left" w:pos="720"/>
              </w:tabs>
              <w:spacing w:line="360" w:lineRule="auto"/>
              <w:jc w:val="both"/>
              <w:rPr>
                <w:rFonts w:ascii="Arial" w:hAnsi="Arial" w:cs="Arial"/>
                <w:b/>
                <w:sz w:val="20"/>
                <w:lang w:val="en-ZA"/>
              </w:rPr>
            </w:pPr>
            <w:r w:rsidRPr="00E855AE">
              <w:rPr>
                <w:rFonts w:ascii="Arial" w:hAnsi="Arial" w:cs="Arial"/>
                <w:b/>
                <w:sz w:val="20"/>
                <w:lang w:val="en-ZA"/>
              </w:rPr>
              <w:t>Jobs.</w:t>
            </w:r>
            <w:r w:rsidRPr="00E855AE">
              <w:rPr>
                <w:rFonts w:ascii="Arial" w:hAnsi="Arial" w:cs="Arial"/>
                <w:sz w:val="20"/>
                <w:lang w:val="en-ZA"/>
              </w:rPr>
              <w:t xml:space="preserve"> Tenderers are required to submit proposals for the type and number of jobs that will be created and retained in South Africa as a direct result of being awarded a contract.</w:t>
            </w:r>
          </w:p>
          <w:p w14:paraId="444C7FC2" w14:textId="77777777" w:rsidR="00546E27" w:rsidRPr="00FA31B2" w:rsidRDefault="00546E27" w:rsidP="00065BFD">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546E27" w:rsidRPr="000C5130" w14:paraId="441223EB" w14:textId="77777777" w:rsidTr="00065BFD">
              <w:trPr>
                <w:trHeight w:val="341"/>
              </w:trPr>
              <w:tc>
                <w:tcPr>
                  <w:tcW w:w="3676" w:type="dxa"/>
                  <w:shd w:val="clear" w:color="auto" w:fill="D9D9D9" w:themeFill="background1" w:themeFillShade="D9"/>
                </w:tcPr>
                <w:p w14:paraId="45CE1D67" w14:textId="77777777" w:rsidR="00546E27" w:rsidRPr="000C5130" w:rsidRDefault="00546E27" w:rsidP="00065BFD">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0F4ACFCA" w14:textId="77777777" w:rsidR="00546E27" w:rsidRPr="000C5130" w:rsidRDefault="00546E27" w:rsidP="00065BFD">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546E27" w:rsidRPr="000C5130" w14:paraId="7586C167" w14:textId="77777777" w:rsidTr="00065BFD">
              <w:trPr>
                <w:trHeight w:val="359"/>
              </w:trPr>
              <w:tc>
                <w:tcPr>
                  <w:tcW w:w="3676" w:type="dxa"/>
                  <w:shd w:val="clear" w:color="auto" w:fill="auto"/>
                </w:tcPr>
                <w:p w14:paraId="06F8B64E" w14:textId="77777777" w:rsidR="00546E27" w:rsidRPr="000C5130" w:rsidRDefault="00546E27" w:rsidP="00065BFD">
                  <w:pPr>
                    <w:tabs>
                      <w:tab w:val="left" w:pos="720"/>
                    </w:tabs>
                    <w:spacing w:line="276" w:lineRule="auto"/>
                    <w:jc w:val="both"/>
                    <w:rPr>
                      <w:rFonts w:ascii="Arial" w:hAnsi="Arial" w:cs="Arial"/>
                      <w:sz w:val="20"/>
                    </w:rPr>
                  </w:pPr>
                </w:p>
              </w:tc>
              <w:tc>
                <w:tcPr>
                  <w:tcW w:w="3676" w:type="dxa"/>
                  <w:shd w:val="clear" w:color="auto" w:fill="auto"/>
                </w:tcPr>
                <w:p w14:paraId="0E769034" w14:textId="77777777" w:rsidR="00546E27" w:rsidRPr="000C5130" w:rsidRDefault="00546E27" w:rsidP="00065BFD">
                  <w:pPr>
                    <w:tabs>
                      <w:tab w:val="left" w:pos="720"/>
                    </w:tabs>
                    <w:spacing w:line="276" w:lineRule="auto"/>
                    <w:jc w:val="both"/>
                    <w:rPr>
                      <w:rFonts w:ascii="Arial" w:hAnsi="Arial" w:cs="Arial"/>
                      <w:sz w:val="20"/>
                    </w:rPr>
                  </w:pPr>
                </w:p>
              </w:tc>
            </w:tr>
          </w:tbl>
          <w:p w14:paraId="4DB67431" w14:textId="77777777" w:rsidR="00546E27" w:rsidRDefault="00546E27" w:rsidP="00065BFD">
            <w:pPr>
              <w:tabs>
                <w:tab w:val="left" w:pos="720"/>
              </w:tabs>
              <w:spacing w:line="360" w:lineRule="auto"/>
              <w:ind w:left="360"/>
              <w:jc w:val="both"/>
              <w:rPr>
                <w:rFonts w:ascii="Arial" w:hAnsi="Arial" w:cs="Arial"/>
                <w:b/>
                <w:sz w:val="20"/>
                <w:lang w:val="en-ZA"/>
              </w:rPr>
            </w:pPr>
          </w:p>
          <w:p w14:paraId="6B946BAB" w14:textId="77777777" w:rsidR="00546E27" w:rsidRPr="006E4F88" w:rsidRDefault="00546E27" w:rsidP="00065BFD">
            <w:pPr>
              <w:tabs>
                <w:tab w:val="left" w:pos="720"/>
              </w:tabs>
              <w:spacing w:line="360" w:lineRule="auto"/>
              <w:ind w:left="360"/>
              <w:jc w:val="both"/>
              <w:rPr>
                <w:rFonts w:ascii="Arial" w:hAnsi="Arial" w:cs="Arial"/>
                <w:b/>
                <w:sz w:val="20"/>
                <w:lang w:val="en-ZA"/>
              </w:rPr>
            </w:pPr>
          </w:p>
          <w:p w14:paraId="37F3603B" w14:textId="77777777" w:rsidR="00546E27" w:rsidRDefault="00546E27" w:rsidP="00065BFD">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546E27" w:rsidRPr="000C5130" w14:paraId="261A8C13" w14:textId="77777777" w:rsidTr="00065BFD">
              <w:trPr>
                <w:trHeight w:val="287"/>
              </w:trPr>
              <w:tc>
                <w:tcPr>
                  <w:tcW w:w="3694" w:type="dxa"/>
                  <w:shd w:val="clear" w:color="auto" w:fill="D9D9D9" w:themeFill="background1" w:themeFillShade="D9"/>
                </w:tcPr>
                <w:p w14:paraId="0EBF7A7F" w14:textId="77777777" w:rsidR="00546E27" w:rsidRPr="000C5130" w:rsidRDefault="00546E27" w:rsidP="00065BFD">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62CB236A" w14:textId="77777777" w:rsidR="00546E27" w:rsidRPr="000C5130" w:rsidRDefault="00546E27" w:rsidP="00065BFD">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546E27" w:rsidRPr="000C5130" w14:paraId="3D896740" w14:textId="77777777" w:rsidTr="00065BFD">
              <w:trPr>
                <w:trHeight w:val="302"/>
              </w:trPr>
              <w:tc>
                <w:tcPr>
                  <w:tcW w:w="3694" w:type="dxa"/>
                  <w:shd w:val="clear" w:color="auto" w:fill="auto"/>
                </w:tcPr>
                <w:p w14:paraId="637C8453" w14:textId="77777777" w:rsidR="00546E27" w:rsidRPr="000C5130" w:rsidRDefault="00546E27" w:rsidP="00065BFD">
                  <w:pPr>
                    <w:tabs>
                      <w:tab w:val="left" w:pos="720"/>
                    </w:tabs>
                    <w:spacing w:line="276" w:lineRule="auto"/>
                    <w:jc w:val="both"/>
                    <w:rPr>
                      <w:rFonts w:ascii="Arial" w:hAnsi="Arial" w:cs="Arial"/>
                      <w:sz w:val="20"/>
                    </w:rPr>
                  </w:pPr>
                </w:p>
              </w:tc>
              <w:tc>
                <w:tcPr>
                  <w:tcW w:w="3694" w:type="dxa"/>
                  <w:shd w:val="clear" w:color="auto" w:fill="auto"/>
                </w:tcPr>
                <w:p w14:paraId="3AED52AC" w14:textId="77777777" w:rsidR="00546E27" w:rsidRPr="000C5130" w:rsidRDefault="00546E27" w:rsidP="00065BFD">
                  <w:pPr>
                    <w:tabs>
                      <w:tab w:val="left" w:pos="720"/>
                    </w:tabs>
                    <w:spacing w:line="276" w:lineRule="auto"/>
                    <w:jc w:val="both"/>
                    <w:rPr>
                      <w:rFonts w:ascii="Arial" w:hAnsi="Arial" w:cs="Arial"/>
                      <w:sz w:val="20"/>
                    </w:rPr>
                  </w:pPr>
                </w:p>
              </w:tc>
            </w:tr>
          </w:tbl>
          <w:p w14:paraId="5B4AE920" w14:textId="77777777" w:rsidR="00546E27" w:rsidRDefault="00546E27" w:rsidP="00065BFD">
            <w:pPr>
              <w:pStyle w:val="ListParagraph"/>
              <w:rPr>
                <w:rFonts w:ascii="Arial" w:hAnsi="Arial" w:cs="Arial"/>
                <w:b/>
                <w:sz w:val="20"/>
                <w:lang w:val="en-ZA"/>
              </w:rPr>
            </w:pPr>
          </w:p>
          <w:p w14:paraId="63DE5986" w14:textId="77777777" w:rsidR="00546E27" w:rsidRDefault="00546E27" w:rsidP="00065BFD">
            <w:pPr>
              <w:pStyle w:val="ListParagraph"/>
              <w:rPr>
                <w:rFonts w:ascii="Arial" w:hAnsi="Arial" w:cs="Arial"/>
                <w:b/>
                <w:sz w:val="20"/>
                <w:lang w:val="en-ZA"/>
              </w:rPr>
            </w:pPr>
          </w:p>
          <w:p w14:paraId="641D4EE8" w14:textId="77777777" w:rsidR="00546E27" w:rsidRDefault="00546E27" w:rsidP="00065BFD">
            <w:pPr>
              <w:pStyle w:val="ListParagraph"/>
              <w:rPr>
                <w:rFonts w:ascii="Arial" w:hAnsi="Arial" w:cs="Arial"/>
                <w:b/>
                <w:sz w:val="20"/>
                <w:lang w:val="en-ZA"/>
              </w:rPr>
            </w:pPr>
          </w:p>
          <w:p w14:paraId="00298D78" w14:textId="77777777" w:rsidR="005A140D" w:rsidRDefault="005A140D" w:rsidP="005A140D">
            <w:pPr>
              <w:pStyle w:val="ListParagraph"/>
              <w:tabs>
                <w:tab w:val="left" w:pos="720"/>
              </w:tabs>
              <w:spacing w:line="276" w:lineRule="auto"/>
              <w:jc w:val="both"/>
              <w:rPr>
                <w:rFonts w:ascii="Arial" w:hAnsi="Arial" w:cs="Arial"/>
                <w:b/>
                <w:sz w:val="20"/>
                <w:lang w:val="en-ZA"/>
              </w:rPr>
            </w:pPr>
          </w:p>
          <w:p w14:paraId="7EB1A0AD" w14:textId="5618600C" w:rsidR="00546E27" w:rsidRPr="00E855AE" w:rsidRDefault="00546E27" w:rsidP="00E855AE">
            <w:pPr>
              <w:pStyle w:val="ListParagraph"/>
              <w:numPr>
                <w:ilvl w:val="0"/>
                <w:numId w:val="46"/>
              </w:numPr>
              <w:tabs>
                <w:tab w:val="left" w:pos="720"/>
              </w:tabs>
              <w:spacing w:line="276" w:lineRule="auto"/>
              <w:jc w:val="both"/>
              <w:rPr>
                <w:rFonts w:ascii="Arial" w:hAnsi="Arial" w:cs="Arial"/>
                <w:b/>
                <w:sz w:val="20"/>
                <w:lang w:val="en-ZA"/>
              </w:rPr>
            </w:pPr>
            <w:r w:rsidRPr="00E855AE">
              <w:rPr>
                <w:rFonts w:ascii="Arial" w:hAnsi="Arial" w:cs="Arial"/>
                <w:b/>
                <w:sz w:val="20"/>
                <w:lang w:val="en-ZA"/>
              </w:rPr>
              <w:t>Skills development</w:t>
            </w:r>
          </w:p>
          <w:p w14:paraId="7F6E1404" w14:textId="77777777" w:rsidR="00546E27" w:rsidRDefault="00546E27" w:rsidP="00065BFD">
            <w:pPr>
              <w:tabs>
                <w:tab w:val="left" w:pos="720"/>
              </w:tabs>
              <w:jc w:val="both"/>
              <w:rPr>
                <w:rFonts w:ascii="Arial" w:hAnsi="Arial" w:cs="Arial"/>
                <w:sz w:val="20"/>
              </w:rPr>
            </w:pPr>
          </w:p>
          <w:p w14:paraId="3D02D15E" w14:textId="07C824A8" w:rsidR="00546E27" w:rsidRPr="000C5130" w:rsidRDefault="00546E27" w:rsidP="00065BFD">
            <w:pPr>
              <w:tabs>
                <w:tab w:val="left" w:pos="720"/>
              </w:tabs>
              <w:spacing w:line="360" w:lineRule="auto"/>
              <w:jc w:val="both"/>
              <w:rPr>
                <w:rFonts w:ascii="Arial" w:hAnsi="Arial" w:cs="Arial"/>
                <w:sz w:val="20"/>
              </w:rPr>
            </w:pPr>
            <w:r w:rsidRPr="000C5130">
              <w:rPr>
                <w:rFonts w:ascii="Arial" w:hAnsi="Arial" w:cs="Arial"/>
                <w:sz w:val="20"/>
              </w:rPr>
              <w:t xml:space="preserve">Tenderers are required to </w:t>
            </w:r>
            <w:r>
              <w:rPr>
                <w:rFonts w:ascii="Arial" w:hAnsi="Arial" w:cs="Arial"/>
                <w:sz w:val="20"/>
              </w:rPr>
              <w:t xml:space="preserve">submit proposals in a table below for developing the skills of unemployed candidates in the country. </w:t>
            </w:r>
            <w:r w:rsidRPr="002232D4">
              <w:rPr>
                <w:rFonts w:ascii="Arial" w:hAnsi="Arial" w:cs="Arial"/>
                <w:sz w:val="20"/>
              </w:rPr>
              <w:t xml:space="preserve">Skills development </w:t>
            </w:r>
            <w:r>
              <w:rPr>
                <w:rFonts w:ascii="Arial" w:hAnsi="Arial" w:cs="Arial"/>
                <w:sz w:val="20"/>
              </w:rPr>
              <w:t>is intended to address</w:t>
            </w:r>
            <w:r w:rsidRPr="002232D4">
              <w:rPr>
                <w:rFonts w:ascii="Arial" w:hAnsi="Arial" w:cs="Arial"/>
                <w:sz w:val="20"/>
              </w:rPr>
              <w:t xml:space="preserve"> Eskom’s core, scarce and critical skills and </w:t>
            </w:r>
            <w:r w:rsidR="005A140D">
              <w:rPr>
                <w:rFonts w:ascii="Arial" w:hAnsi="Arial" w:cs="Arial"/>
                <w:sz w:val="20"/>
              </w:rPr>
              <w:t>scarce</w:t>
            </w:r>
            <w:r w:rsidRPr="002232D4">
              <w:rPr>
                <w:rFonts w:ascii="Arial" w:hAnsi="Arial" w:cs="Arial"/>
                <w:sz w:val="20"/>
              </w:rPr>
              <w:t xml:space="preserve"> and critical skills.  These skills are also included in a </w:t>
            </w:r>
            <w:r>
              <w:rPr>
                <w:rFonts w:ascii="Arial" w:hAnsi="Arial" w:cs="Arial"/>
                <w:sz w:val="20"/>
              </w:rPr>
              <w:t xml:space="preserve">2020 </w:t>
            </w:r>
            <w:r w:rsidRPr="002232D4">
              <w:rPr>
                <w:rFonts w:ascii="Arial" w:hAnsi="Arial" w:cs="Arial"/>
                <w:sz w:val="20"/>
              </w:rPr>
              <w:t>list of</w:t>
            </w:r>
            <w:r>
              <w:rPr>
                <w:rFonts w:ascii="Arial" w:hAnsi="Arial" w:cs="Arial"/>
                <w:sz w:val="20"/>
              </w:rPr>
              <w:t xml:space="preserve"> occupations in high demand</w:t>
            </w:r>
            <w:r w:rsidRPr="002232D4">
              <w:rPr>
                <w:rFonts w:ascii="Arial" w:hAnsi="Arial" w:cs="Arial"/>
                <w:sz w:val="20"/>
              </w:rPr>
              <w:t xml:space="preserve"> as stipulated in</w:t>
            </w:r>
            <w:r>
              <w:rPr>
                <w:rFonts w:ascii="Arial" w:hAnsi="Arial" w:cs="Arial"/>
                <w:sz w:val="20"/>
              </w:rPr>
              <w:t xml:space="preserve"> the Government Gazette 43937.   C</w:t>
            </w:r>
            <w:r w:rsidRPr="002232D4">
              <w:rPr>
                <w:rFonts w:ascii="Arial" w:hAnsi="Arial" w:cs="Arial"/>
                <w:sz w:val="20"/>
              </w:rPr>
              <w:t>andidates shall be from all provinces in the country, and their composition shall be representative of the population demographics of South Africa</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5"/>
              <w:gridCol w:w="1301"/>
              <w:gridCol w:w="1333"/>
              <w:gridCol w:w="1310"/>
              <w:gridCol w:w="1664"/>
            </w:tblGrid>
            <w:tr w:rsidR="004E796C" w:rsidRPr="000C5130" w14:paraId="241C348B" w14:textId="77777777" w:rsidTr="004E796C">
              <w:trPr>
                <w:trHeight w:val="359"/>
              </w:trPr>
              <w:tc>
                <w:tcPr>
                  <w:tcW w:w="2575" w:type="dxa"/>
                  <w:shd w:val="clear" w:color="auto" w:fill="D9D9D9" w:themeFill="background1" w:themeFillShade="D9"/>
                </w:tcPr>
                <w:p w14:paraId="3026DCFD" w14:textId="77777777" w:rsidR="004E796C" w:rsidRPr="000C5130" w:rsidRDefault="004E796C" w:rsidP="00065BFD">
                  <w:pPr>
                    <w:tabs>
                      <w:tab w:val="left" w:pos="720"/>
                    </w:tabs>
                    <w:jc w:val="center"/>
                    <w:rPr>
                      <w:rFonts w:ascii="Arial" w:hAnsi="Arial" w:cs="Arial"/>
                      <w:b/>
                      <w:sz w:val="20"/>
                    </w:rPr>
                  </w:pPr>
                  <w:r>
                    <w:rPr>
                      <w:rFonts w:ascii="Arial" w:hAnsi="Arial" w:cs="Arial"/>
                      <w:b/>
                      <w:sz w:val="20"/>
                    </w:rPr>
                    <w:t>Skill type / Occupation</w:t>
                  </w:r>
                </w:p>
              </w:tc>
              <w:tc>
                <w:tcPr>
                  <w:tcW w:w="1301" w:type="dxa"/>
                  <w:shd w:val="clear" w:color="auto" w:fill="D9D9D9" w:themeFill="background1" w:themeFillShade="D9"/>
                </w:tcPr>
                <w:p w14:paraId="5DF8A795" w14:textId="77777777" w:rsidR="004E796C" w:rsidRDefault="004E796C" w:rsidP="00065BFD">
                  <w:pPr>
                    <w:tabs>
                      <w:tab w:val="left" w:pos="720"/>
                    </w:tabs>
                    <w:jc w:val="center"/>
                    <w:rPr>
                      <w:rFonts w:ascii="Arial" w:hAnsi="Arial" w:cs="Arial"/>
                      <w:b/>
                      <w:sz w:val="20"/>
                    </w:rPr>
                  </w:pPr>
                  <w:r>
                    <w:rPr>
                      <w:rFonts w:ascii="Arial" w:hAnsi="Arial" w:cs="Arial"/>
                      <w:b/>
                      <w:sz w:val="20"/>
                    </w:rPr>
                    <w:t>Eskom target</w:t>
                  </w:r>
                </w:p>
              </w:tc>
              <w:tc>
                <w:tcPr>
                  <w:tcW w:w="1333" w:type="dxa"/>
                  <w:shd w:val="clear" w:color="auto" w:fill="D9D9D9" w:themeFill="background1" w:themeFillShade="D9"/>
                </w:tcPr>
                <w:p w14:paraId="6639EDC3" w14:textId="47B27AD8" w:rsidR="004E796C" w:rsidRDefault="004E796C" w:rsidP="00065BFD">
                  <w:pPr>
                    <w:tabs>
                      <w:tab w:val="left" w:pos="720"/>
                    </w:tabs>
                    <w:jc w:val="center"/>
                    <w:rPr>
                      <w:rFonts w:ascii="Arial" w:hAnsi="Arial" w:cs="Arial"/>
                      <w:b/>
                      <w:sz w:val="20"/>
                    </w:rPr>
                  </w:pPr>
                  <w:r>
                    <w:rPr>
                      <w:rFonts w:ascii="Arial" w:hAnsi="Arial" w:cs="Arial"/>
                      <w:b/>
                      <w:sz w:val="20"/>
                    </w:rPr>
                    <w:t>Entry Level</w:t>
                  </w:r>
                </w:p>
              </w:tc>
              <w:tc>
                <w:tcPr>
                  <w:tcW w:w="1310" w:type="dxa"/>
                  <w:shd w:val="clear" w:color="auto" w:fill="D9D9D9" w:themeFill="background1" w:themeFillShade="D9"/>
                </w:tcPr>
                <w:p w14:paraId="758B41D1" w14:textId="561F6902" w:rsidR="004E796C" w:rsidRDefault="004E796C" w:rsidP="00065BFD">
                  <w:pPr>
                    <w:tabs>
                      <w:tab w:val="left" w:pos="720"/>
                    </w:tabs>
                    <w:jc w:val="center"/>
                    <w:rPr>
                      <w:rFonts w:ascii="Arial" w:hAnsi="Arial" w:cs="Arial"/>
                      <w:b/>
                      <w:sz w:val="20"/>
                    </w:rPr>
                  </w:pPr>
                  <w:r>
                    <w:rPr>
                      <w:rFonts w:ascii="Arial" w:hAnsi="Arial" w:cs="Arial"/>
                      <w:b/>
                      <w:sz w:val="20"/>
                    </w:rPr>
                    <w:t>Output</w:t>
                  </w:r>
                </w:p>
              </w:tc>
              <w:tc>
                <w:tcPr>
                  <w:tcW w:w="1664" w:type="dxa"/>
                  <w:shd w:val="clear" w:color="auto" w:fill="D9D9D9" w:themeFill="background1" w:themeFillShade="D9"/>
                </w:tcPr>
                <w:p w14:paraId="2741D885" w14:textId="0A6225F4" w:rsidR="004E796C" w:rsidRPr="000C5130" w:rsidRDefault="004E796C" w:rsidP="004E796C">
                  <w:pPr>
                    <w:tabs>
                      <w:tab w:val="left" w:pos="720"/>
                    </w:tabs>
                    <w:rPr>
                      <w:rFonts w:ascii="Arial" w:hAnsi="Arial" w:cs="Arial"/>
                      <w:b/>
                      <w:sz w:val="20"/>
                    </w:rPr>
                  </w:pPr>
                  <w:r>
                    <w:rPr>
                      <w:rFonts w:ascii="Arial" w:hAnsi="Arial" w:cs="Arial"/>
                      <w:b/>
                      <w:sz w:val="20"/>
                    </w:rPr>
                    <w:t>Tenderers Proposal</w:t>
                  </w:r>
                </w:p>
              </w:tc>
            </w:tr>
            <w:tr w:rsidR="005A140D" w:rsidRPr="000C5130" w14:paraId="4ED2613C" w14:textId="77777777" w:rsidTr="002A7A40">
              <w:trPr>
                <w:trHeight w:val="359"/>
              </w:trPr>
              <w:tc>
                <w:tcPr>
                  <w:tcW w:w="2575" w:type="dxa"/>
                </w:tcPr>
                <w:p w14:paraId="6918843F" w14:textId="3FA26AB4" w:rsidR="005A140D" w:rsidRPr="005A140D" w:rsidRDefault="005A140D" w:rsidP="005A140D">
                  <w:pPr>
                    <w:spacing w:line="276" w:lineRule="auto"/>
                    <w:rPr>
                      <w:rFonts w:ascii="Arial" w:hAnsi="Arial" w:cs="Arial"/>
                      <w:iCs/>
                      <w:color w:val="000000" w:themeColor="text1"/>
                      <w:sz w:val="20"/>
                    </w:rPr>
                  </w:pPr>
                  <w:r w:rsidRPr="005A140D">
                    <w:rPr>
                      <w:rFonts w:ascii="Arial" w:hAnsi="Arial" w:cs="Arial"/>
                      <w:iCs/>
                      <w:color w:val="000000" w:themeColor="text1"/>
                      <w:sz w:val="20"/>
                    </w:rPr>
                    <w:t xml:space="preserve">Artisan Mechanical </w:t>
                  </w:r>
                </w:p>
              </w:tc>
              <w:tc>
                <w:tcPr>
                  <w:tcW w:w="1301" w:type="dxa"/>
                </w:tcPr>
                <w:p w14:paraId="6C96573A" w14:textId="54E44040" w:rsidR="005A140D" w:rsidRPr="005A140D" w:rsidRDefault="005A140D" w:rsidP="005A140D">
                  <w:pPr>
                    <w:jc w:val="center"/>
                    <w:rPr>
                      <w:rFonts w:ascii="Arial" w:hAnsi="Arial" w:cs="Arial"/>
                      <w:iCs/>
                      <w:color w:val="000000" w:themeColor="text1"/>
                      <w:sz w:val="20"/>
                    </w:rPr>
                  </w:pPr>
                  <w:r w:rsidRPr="005A140D">
                    <w:rPr>
                      <w:rFonts w:ascii="Arial" w:hAnsi="Arial" w:cs="Arial"/>
                      <w:iCs/>
                      <w:color w:val="000000" w:themeColor="text1"/>
                      <w:sz w:val="20"/>
                    </w:rPr>
                    <w:t>04</w:t>
                  </w:r>
                </w:p>
              </w:tc>
              <w:tc>
                <w:tcPr>
                  <w:tcW w:w="1333" w:type="dxa"/>
                </w:tcPr>
                <w:p w14:paraId="13DA1503" w14:textId="5381AE51" w:rsidR="005A140D" w:rsidRPr="005A140D" w:rsidRDefault="005A140D" w:rsidP="005A140D">
                  <w:pPr>
                    <w:tabs>
                      <w:tab w:val="left" w:pos="720"/>
                    </w:tabs>
                    <w:jc w:val="center"/>
                    <w:rPr>
                      <w:rFonts w:ascii="Arial" w:hAnsi="Arial" w:cs="Arial"/>
                      <w:b/>
                      <w:iCs/>
                      <w:color w:val="000000" w:themeColor="text1"/>
                      <w:sz w:val="20"/>
                    </w:rPr>
                  </w:pPr>
                  <w:r w:rsidRPr="005A140D">
                    <w:rPr>
                      <w:rFonts w:ascii="Arial" w:hAnsi="Arial" w:cs="Arial"/>
                      <w:iCs/>
                      <w:color w:val="000000" w:themeColor="text1"/>
                      <w:sz w:val="20"/>
                    </w:rPr>
                    <w:t>N3 / Matric or Equivalent</w:t>
                  </w:r>
                </w:p>
              </w:tc>
              <w:tc>
                <w:tcPr>
                  <w:tcW w:w="1310" w:type="dxa"/>
                </w:tcPr>
                <w:p w14:paraId="232C9EE2" w14:textId="310935D0" w:rsidR="005A140D" w:rsidRPr="005A140D" w:rsidRDefault="005A140D" w:rsidP="005A140D">
                  <w:pPr>
                    <w:tabs>
                      <w:tab w:val="left" w:pos="720"/>
                    </w:tabs>
                    <w:jc w:val="center"/>
                    <w:rPr>
                      <w:rFonts w:ascii="Arial" w:hAnsi="Arial" w:cs="Arial"/>
                      <w:b/>
                      <w:iCs/>
                      <w:color w:val="000000" w:themeColor="text1"/>
                      <w:sz w:val="20"/>
                    </w:rPr>
                  </w:pPr>
                  <w:r w:rsidRPr="005A140D">
                    <w:rPr>
                      <w:rFonts w:ascii="Arial" w:hAnsi="Arial" w:cs="Arial"/>
                      <w:iCs/>
                      <w:color w:val="000000" w:themeColor="text1"/>
                      <w:sz w:val="20"/>
                    </w:rPr>
                    <w:t>Trade Test</w:t>
                  </w:r>
                </w:p>
              </w:tc>
              <w:tc>
                <w:tcPr>
                  <w:tcW w:w="1664" w:type="dxa"/>
                </w:tcPr>
                <w:p w14:paraId="5E9D2CF3" w14:textId="7A68D7D2" w:rsidR="005A140D" w:rsidRPr="008A3FC8" w:rsidRDefault="005A140D" w:rsidP="005A140D">
                  <w:pPr>
                    <w:tabs>
                      <w:tab w:val="left" w:pos="720"/>
                    </w:tabs>
                    <w:jc w:val="center"/>
                    <w:rPr>
                      <w:rFonts w:ascii="Arial" w:hAnsi="Arial" w:cs="Arial"/>
                      <w:b/>
                      <w:sz w:val="20"/>
                    </w:rPr>
                  </w:pPr>
                </w:p>
              </w:tc>
            </w:tr>
          </w:tbl>
          <w:p w14:paraId="2FAA1940" w14:textId="77777777" w:rsidR="00546E27" w:rsidRDefault="00546E27" w:rsidP="00005A8B">
            <w:pPr>
              <w:tabs>
                <w:tab w:val="left" w:pos="720"/>
              </w:tabs>
              <w:jc w:val="both"/>
              <w:rPr>
                <w:rFonts w:ascii="Arial" w:hAnsi="Arial" w:cs="Arial"/>
                <w:sz w:val="20"/>
                <w:lang w:val="en-ZA"/>
              </w:rPr>
            </w:pPr>
          </w:p>
          <w:p w14:paraId="6B3A1D7A" w14:textId="77777777" w:rsidR="00546E27" w:rsidRPr="004D5F75" w:rsidRDefault="00546E27" w:rsidP="00065BFD">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The process of developing these skills shall involve the participation by tenderers directly and through their supply network.  In certain cases, the SETA</w:t>
            </w:r>
            <w:r>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2F89D4AC" w14:textId="77777777" w:rsidR="00546E27" w:rsidRPr="004D5F75" w:rsidRDefault="00546E27" w:rsidP="00065BFD">
            <w:pPr>
              <w:spacing w:after="200" w:line="360" w:lineRule="auto"/>
              <w:ind w:left="360"/>
              <w:contextualSpacing/>
              <w:jc w:val="both"/>
              <w:rPr>
                <w:rFonts w:ascii="Arial" w:eastAsia="Calibri" w:hAnsi="Arial" w:cs="Arial"/>
                <w:sz w:val="20"/>
                <w:szCs w:val="22"/>
                <w:lang w:val="en-ZA"/>
              </w:rPr>
            </w:pPr>
          </w:p>
          <w:p w14:paraId="71443C5C" w14:textId="38E30464" w:rsidR="00546E27" w:rsidRPr="000C5130" w:rsidRDefault="00546E27" w:rsidP="00005A8B">
            <w:pPr>
              <w:spacing w:after="200" w:line="360" w:lineRule="auto"/>
              <w:ind w:left="360"/>
              <w:contextualSpacing/>
              <w:jc w:val="both"/>
              <w:rPr>
                <w:rFonts w:ascii="Arial" w:hAnsi="Arial" w:cs="Arial"/>
                <w:sz w:val="20"/>
              </w:rPr>
            </w:pPr>
            <w:r w:rsidRPr="00005A8B">
              <w:rPr>
                <w:rFonts w:ascii="Arial" w:eastAsia="Calibri" w:hAnsi="Arial" w:cs="Arial"/>
                <w:b/>
                <w:bCs/>
                <w:sz w:val="20"/>
                <w:szCs w:val="22"/>
                <w:u w:val="single"/>
                <w:lang w:val="en-ZA"/>
              </w:rPr>
              <w:t>Note</w:t>
            </w:r>
            <w:r>
              <w:rPr>
                <w:rFonts w:ascii="Arial" w:eastAsia="Calibri" w:hAnsi="Arial" w:cs="Arial"/>
                <w:sz w:val="20"/>
                <w:szCs w:val="22"/>
                <w:lang w:val="en-ZA"/>
              </w:rPr>
              <w:t>:</w:t>
            </w:r>
            <w:r w:rsidRPr="004D5F75">
              <w:rPr>
                <w:rFonts w:ascii="Arial" w:eastAsia="Calibri" w:hAnsi="Arial" w:cs="Arial"/>
                <w:sz w:val="20"/>
                <w:szCs w:val="22"/>
                <w:lang w:val="en-ZA"/>
              </w:rPr>
              <w:t xml:space="preserve"> </w:t>
            </w:r>
            <w:r w:rsidR="00005A8B">
              <w:rPr>
                <w:rFonts w:ascii="Arial" w:hAnsi="Arial" w:cs="Arial"/>
                <w:sz w:val="22"/>
                <w:szCs w:val="22"/>
              </w:rPr>
              <w:t xml:space="preserve">That these targets for skills development candidates categorically exclude Eskom employees and registered learners. The tenderers are required to take full responsibility for the total cost of developing the requisite skills, and Eskom shall not make any </w:t>
            </w:r>
            <w:r w:rsidR="00005A8B">
              <w:rPr>
                <w:rFonts w:ascii="Arial" w:hAnsi="Arial" w:cs="Arial"/>
                <w:sz w:val="22"/>
                <w:szCs w:val="22"/>
              </w:rPr>
              <w:lastRenderedPageBreak/>
              <w:t>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p w14:paraId="4B7AD2E5" w14:textId="77777777" w:rsidR="00005A8B" w:rsidRDefault="00005A8B" w:rsidP="00EB6A30">
      <w:pPr>
        <w:spacing w:after="120" w:line="276" w:lineRule="auto"/>
        <w:rPr>
          <w:rFonts w:ascii="Arial" w:hAnsi="Arial" w:cs="Arial"/>
          <w:b/>
          <w:sz w:val="22"/>
        </w:rPr>
      </w:pPr>
    </w:p>
    <w:p w14:paraId="14951245" w14:textId="326001B9"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546E27">
        <w:rPr>
          <w:rFonts w:ascii="Arial" w:hAnsi="Arial" w:cs="Arial"/>
          <w:b/>
          <w:sz w:val="22"/>
        </w:rPr>
        <w:t>3</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034E8A4D" w14:textId="77777777" w:rsidTr="00987ACB">
        <w:tc>
          <w:tcPr>
            <w:tcW w:w="9050" w:type="dxa"/>
            <w:shd w:val="clear" w:color="auto" w:fill="000000"/>
          </w:tcPr>
          <w:p w14:paraId="35EA9478"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5EDAC0D0" w14:textId="77777777" w:rsidTr="00DF46B0">
        <w:trPr>
          <w:trHeight w:val="723"/>
        </w:trPr>
        <w:tc>
          <w:tcPr>
            <w:tcW w:w="9050" w:type="dxa"/>
            <w:shd w:val="clear" w:color="auto" w:fill="auto"/>
          </w:tcPr>
          <w:p w14:paraId="771C631E" w14:textId="77777777" w:rsidR="00EF4E0F" w:rsidRPr="00005A8B" w:rsidRDefault="00EF4E0F" w:rsidP="00AF6824">
            <w:pPr>
              <w:spacing w:line="360" w:lineRule="auto"/>
              <w:contextualSpacing/>
              <w:jc w:val="both"/>
              <w:rPr>
                <w:rFonts w:ascii="Arial" w:eastAsia="Calibri" w:hAnsi="Arial" w:cs="Arial"/>
                <w:sz w:val="16"/>
                <w:szCs w:val="16"/>
                <w:lang w:val="en-ZA"/>
              </w:rPr>
            </w:pPr>
          </w:p>
          <w:p w14:paraId="26714B8F" w14:textId="77777777" w:rsidR="00005A8B" w:rsidRPr="0029148E" w:rsidRDefault="00005A8B" w:rsidP="00005A8B">
            <w:pPr>
              <w:spacing w:after="200" w:line="276" w:lineRule="auto"/>
              <w:jc w:val="both"/>
              <w:rPr>
                <w:rFonts w:ascii="Arial" w:hAnsi="Arial" w:cs="Arial"/>
                <w:sz w:val="20"/>
                <w:lang w:val="en-ZA"/>
              </w:rPr>
            </w:pPr>
            <w:r w:rsidRPr="0029148E">
              <w:rPr>
                <w:rFonts w:ascii="Arial" w:hAnsi="Arial" w:cs="Arial"/>
                <w:sz w:val="20"/>
                <w:lang w:val="en-ZA"/>
              </w:rPr>
              <w:t xml:space="preserve">Eskom will apply a penalty of 2.5% of the Contract Value for failure to meet SDL&amp;I obligations. </w:t>
            </w:r>
          </w:p>
          <w:p w14:paraId="6BC915AC" w14:textId="77777777" w:rsidR="00111B2E" w:rsidRDefault="00005A8B" w:rsidP="00005A8B">
            <w:pPr>
              <w:spacing w:line="360" w:lineRule="auto"/>
              <w:contextualSpacing/>
              <w:jc w:val="both"/>
              <w:rPr>
                <w:rFonts w:ascii="Arial" w:eastAsia="Calibri" w:hAnsi="Arial" w:cs="Arial"/>
                <w:sz w:val="20"/>
                <w:lang w:val="en-ZA"/>
              </w:rPr>
            </w:pPr>
            <w:r w:rsidRPr="0029148E">
              <w:rPr>
                <w:rFonts w:ascii="Arial" w:hAnsi="Arial" w:cs="Arial"/>
                <w:sz w:val="20"/>
                <w:lang w:val="en-ZA"/>
              </w:rPr>
              <w:t>For the duration of the contract, Eskom will retain 2.5% of every invoice (excluding VAT) as security for the fulfilment of</w:t>
            </w:r>
            <w:r w:rsidRPr="0029148E">
              <w:rPr>
                <w:rFonts w:ascii="Arial" w:hAnsi="Arial" w:cs="Arial"/>
                <w:sz w:val="20"/>
              </w:rPr>
              <w:t xml:space="preserve"> all SDL&amp;I Obligations.</w:t>
            </w:r>
            <w:r w:rsidRPr="0029148E">
              <w:rPr>
                <w:rFonts w:ascii="Arial" w:eastAsia="Calibri" w:hAnsi="Arial" w:cs="Arial"/>
                <w:sz w:val="20"/>
                <w:lang w:val="en-ZA"/>
              </w:rPr>
              <w:t xml:space="preserve"> The retained amounts shall only be released to the Contractor upon</w:t>
            </w:r>
            <w:r w:rsidR="00111B2E">
              <w:rPr>
                <w:rFonts w:ascii="Arial" w:eastAsia="Calibri" w:hAnsi="Arial" w:cs="Arial"/>
                <w:sz w:val="20"/>
                <w:lang w:val="en-ZA"/>
              </w:rPr>
              <w:t>:</w:t>
            </w:r>
          </w:p>
          <w:p w14:paraId="50BA202C" w14:textId="793C1C09" w:rsidR="00111B2E" w:rsidRPr="00111B2E" w:rsidRDefault="00111B2E" w:rsidP="00111B2E">
            <w:pPr>
              <w:pStyle w:val="ListParagraph"/>
              <w:numPr>
                <w:ilvl w:val="0"/>
                <w:numId w:val="45"/>
              </w:numPr>
              <w:spacing w:line="360" w:lineRule="auto"/>
              <w:jc w:val="both"/>
              <w:rPr>
                <w:rFonts w:ascii="Arial" w:eastAsia="Calibri" w:hAnsi="Arial" w:cs="Arial"/>
                <w:sz w:val="20"/>
                <w:lang w:val="en-ZA"/>
              </w:rPr>
            </w:pPr>
            <w:r w:rsidRPr="00111B2E">
              <w:rPr>
                <w:rFonts w:ascii="Arial" w:eastAsia="Calibri" w:hAnsi="Arial" w:cs="Arial"/>
                <w:sz w:val="20"/>
                <w:lang w:val="en-ZA"/>
              </w:rPr>
              <w:t>Eskom receives the SDL&amp;I progress report</w:t>
            </w:r>
            <w:r>
              <w:rPr>
                <w:rFonts w:ascii="Arial" w:eastAsia="Calibri" w:hAnsi="Arial" w:cs="Arial"/>
                <w:sz w:val="20"/>
                <w:lang w:val="en-ZA"/>
              </w:rPr>
              <w:t>/</w:t>
            </w:r>
            <w:r w:rsidRPr="00111B2E">
              <w:rPr>
                <w:rFonts w:ascii="Arial" w:eastAsia="Calibri" w:hAnsi="Arial" w:cs="Arial"/>
                <w:sz w:val="20"/>
                <w:lang w:val="en-ZA"/>
              </w:rPr>
              <w:t>s from the contractor.</w:t>
            </w:r>
          </w:p>
          <w:p w14:paraId="0B2E2773" w14:textId="3C550F4F" w:rsidR="00111B2E" w:rsidRPr="00111B2E" w:rsidRDefault="00111B2E" w:rsidP="00111B2E">
            <w:pPr>
              <w:pStyle w:val="ListParagraph"/>
              <w:numPr>
                <w:ilvl w:val="0"/>
                <w:numId w:val="45"/>
              </w:numPr>
              <w:spacing w:line="360" w:lineRule="auto"/>
              <w:jc w:val="both"/>
              <w:rPr>
                <w:rFonts w:ascii="Arial" w:eastAsia="Calibri" w:hAnsi="Arial" w:cs="Arial"/>
                <w:sz w:val="20"/>
                <w:lang w:val="en-ZA"/>
              </w:rPr>
            </w:pPr>
            <w:r w:rsidRPr="00111B2E">
              <w:rPr>
                <w:rFonts w:ascii="Arial" w:eastAsia="Calibri" w:hAnsi="Arial" w:cs="Arial"/>
                <w:sz w:val="20"/>
                <w:lang w:val="en-ZA"/>
              </w:rPr>
              <w:t>F</w:t>
            </w:r>
            <w:r w:rsidR="00005A8B" w:rsidRPr="00111B2E">
              <w:rPr>
                <w:rFonts w:ascii="Arial" w:eastAsia="Calibri" w:hAnsi="Arial" w:cs="Arial"/>
                <w:sz w:val="20"/>
                <w:lang w:val="en-ZA"/>
              </w:rPr>
              <w:t xml:space="preserve">ulfilment of all SDL&amp;I obligations </w:t>
            </w:r>
            <w:r w:rsidRPr="00111B2E">
              <w:rPr>
                <w:rFonts w:ascii="Arial" w:eastAsia="Calibri" w:hAnsi="Arial" w:cs="Arial"/>
                <w:sz w:val="20"/>
                <w:lang w:val="en-ZA"/>
              </w:rPr>
              <w:t>by the contractor</w:t>
            </w:r>
            <w:r w:rsidR="0088072F">
              <w:rPr>
                <w:rFonts w:ascii="Arial" w:eastAsia="Calibri" w:hAnsi="Arial" w:cs="Arial"/>
                <w:sz w:val="20"/>
                <w:lang w:val="en-ZA"/>
              </w:rPr>
              <w:t>.</w:t>
            </w:r>
          </w:p>
          <w:p w14:paraId="17136A1E" w14:textId="5FBBC435" w:rsidR="00EF4E0F" w:rsidRPr="00111B2E" w:rsidRDefault="00111B2E" w:rsidP="00111B2E">
            <w:pPr>
              <w:pStyle w:val="ListParagraph"/>
              <w:numPr>
                <w:ilvl w:val="0"/>
                <w:numId w:val="45"/>
              </w:numPr>
              <w:spacing w:line="360" w:lineRule="auto"/>
              <w:jc w:val="both"/>
              <w:rPr>
                <w:rFonts w:ascii="Arial" w:eastAsia="Calibri" w:hAnsi="Arial" w:cs="Arial"/>
                <w:sz w:val="20"/>
                <w:szCs w:val="22"/>
                <w:lang w:val="en-ZA"/>
              </w:rPr>
            </w:pPr>
            <w:r w:rsidRPr="00111B2E">
              <w:rPr>
                <w:rFonts w:ascii="Arial" w:eastAsia="Calibri" w:hAnsi="Arial" w:cs="Arial"/>
                <w:sz w:val="20"/>
                <w:lang w:val="en-ZA"/>
              </w:rPr>
              <w:t xml:space="preserve">Submission of an approved compliance report by </w:t>
            </w:r>
            <w:r w:rsidR="00005A8B" w:rsidRPr="00111B2E">
              <w:rPr>
                <w:rFonts w:ascii="Arial" w:eastAsia="Calibri" w:hAnsi="Arial" w:cs="Arial"/>
                <w:sz w:val="20"/>
                <w:lang w:val="en-ZA"/>
              </w:rPr>
              <w:t>SDL&amp;I Department.</w:t>
            </w:r>
          </w:p>
        </w:tc>
      </w:tr>
    </w:tbl>
    <w:p w14:paraId="1C3669AC" w14:textId="436FEA90" w:rsidR="00F76156" w:rsidRDefault="00F76156" w:rsidP="00C7656D">
      <w:pPr>
        <w:spacing w:after="200" w:line="276" w:lineRule="auto"/>
        <w:rPr>
          <w:rFonts w:ascii="Arial" w:hAnsi="Arial" w:cs="Arial"/>
          <w:b/>
          <w:sz w:val="22"/>
        </w:rPr>
      </w:pPr>
    </w:p>
    <w:p w14:paraId="35DAD45A" w14:textId="2BC18DC6"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 xml:space="preserve">ction </w:t>
      </w:r>
      <w:r w:rsidR="00546E27">
        <w:rPr>
          <w:rFonts w:ascii="Arial" w:hAnsi="Arial" w:cs="Arial"/>
          <w:b/>
          <w:sz w:val="22"/>
        </w:rPr>
        <w:t>4</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175644">
        <w:trPr>
          <w:trHeight w:val="1395"/>
        </w:trPr>
        <w:tc>
          <w:tcPr>
            <w:tcW w:w="9050" w:type="dxa"/>
            <w:shd w:val="clear" w:color="auto" w:fill="DDD9C3" w:themeFill="background2" w:themeFillShade="E6"/>
          </w:tcPr>
          <w:p w14:paraId="3F64373D" w14:textId="6F1A7A7F" w:rsidR="00990864" w:rsidRPr="00CB3564"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1"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1"/>
          </w:p>
          <w:p w14:paraId="081854E5"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20DC402" w:rsidR="00990864" w:rsidRPr="00175644" w:rsidRDefault="00CB3564" w:rsidP="00CB3564">
            <w:pPr>
              <w:pStyle w:val="ListParagraph"/>
              <w:numPr>
                <w:ilvl w:val="0"/>
                <w:numId w:val="25"/>
              </w:numPr>
              <w:spacing w:after="200"/>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67F54BEC" w14:textId="77777777" w:rsidR="00140917" w:rsidRDefault="00140917" w:rsidP="00EB6A30">
      <w:pPr>
        <w:spacing w:after="120" w:line="276" w:lineRule="auto"/>
        <w:rPr>
          <w:rFonts w:ascii="Arial" w:hAnsi="Arial" w:cs="Arial"/>
          <w:b/>
          <w:sz w:val="22"/>
        </w:rPr>
      </w:pPr>
    </w:p>
    <w:p w14:paraId="486E9A04" w14:textId="3B1DEC3E" w:rsidR="00D45AEE" w:rsidRPr="00EB6A30" w:rsidRDefault="00C77EB9" w:rsidP="00EB6A30">
      <w:pPr>
        <w:spacing w:after="120" w:line="276" w:lineRule="auto"/>
        <w:rPr>
          <w:rFonts w:ascii="Arial" w:hAnsi="Arial" w:cs="Arial"/>
          <w:b/>
          <w:sz w:val="22"/>
        </w:rPr>
      </w:pPr>
      <w:r>
        <w:rPr>
          <w:rFonts w:ascii="Arial" w:hAnsi="Arial" w:cs="Arial"/>
          <w:b/>
          <w:sz w:val="22"/>
        </w:rPr>
        <w:t xml:space="preserve">Section </w:t>
      </w:r>
      <w:r w:rsidR="00546E27">
        <w:rPr>
          <w:rFonts w:ascii="Arial" w:hAnsi="Arial" w:cs="Arial"/>
          <w:b/>
          <w:sz w:val="22"/>
        </w:rPr>
        <w:t>5</w:t>
      </w:r>
      <w:r w:rsidR="00D45AEE" w:rsidRPr="00EB6A30">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D45AEE" w:rsidRPr="00EB6A30" w14:paraId="58E0D393" w14:textId="77777777" w:rsidTr="00987ACB">
        <w:tc>
          <w:tcPr>
            <w:tcW w:w="9050" w:type="dxa"/>
            <w:gridSpan w:val="2"/>
            <w:shd w:val="clear" w:color="auto" w:fill="000000"/>
          </w:tcPr>
          <w:p w14:paraId="561759E7" w14:textId="77777777" w:rsidR="00D45AEE" w:rsidRPr="00EB6A30" w:rsidRDefault="00D45AEE" w:rsidP="00987ACB">
            <w:pPr>
              <w:tabs>
                <w:tab w:val="left" w:pos="720"/>
              </w:tabs>
              <w:jc w:val="both"/>
              <w:rPr>
                <w:rFonts w:ascii="Arial" w:hAnsi="Arial" w:cs="Arial"/>
                <w:sz w:val="20"/>
              </w:rPr>
            </w:pPr>
            <w:r w:rsidRPr="00EB6A30">
              <w:rPr>
                <w:rFonts w:ascii="Arial" w:hAnsi="Arial" w:cs="Arial"/>
                <w:sz w:val="20"/>
              </w:rPr>
              <w:t xml:space="preserve">The following information demonstrates </w:t>
            </w:r>
            <w:proofErr w:type="gramStart"/>
            <w:r w:rsidRPr="00EB6A30">
              <w:rPr>
                <w:rFonts w:ascii="Arial" w:hAnsi="Arial" w:cs="Arial"/>
                <w:sz w:val="20"/>
              </w:rPr>
              <w:t>market</w:t>
            </w:r>
            <w:proofErr w:type="gramEnd"/>
            <w:r w:rsidRPr="00EB6A30">
              <w:rPr>
                <w:rFonts w:ascii="Arial" w:hAnsi="Arial" w:cs="Arial"/>
                <w:sz w:val="20"/>
              </w:rPr>
              <w:t xml:space="preserve"> analysis and </w:t>
            </w:r>
            <w:proofErr w:type="gramStart"/>
            <w:r w:rsidRPr="00EB6A30">
              <w:rPr>
                <w:rFonts w:ascii="Arial" w:hAnsi="Arial" w:cs="Arial"/>
                <w:sz w:val="20"/>
              </w:rPr>
              <w:t>assisted</w:t>
            </w:r>
            <w:proofErr w:type="gramEnd"/>
            <w:r w:rsidRPr="00EB6A30">
              <w:rPr>
                <w:rFonts w:ascii="Arial" w:hAnsi="Arial" w:cs="Arial"/>
                <w:sz w:val="20"/>
              </w:rPr>
              <w:t xml:space="preserve"> in arriving at the targets above.</w:t>
            </w:r>
            <w:r w:rsidRPr="00EB6A30">
              <w:rPr>
                <w:sz w:val="20"/>
              </w:rPr>
              <w:t xml:space="preserve">  </w:t>
            </w:r>
          </w:p>
        </w:tc>
      </w:tr>
      <w:tr w:rsidR="00E500CF" w:rsidRPr="00EB6A30" w14:paraId="25234F53" w14:textId="77777777" w:rsidTr="00175644">
        <w:trPr>
          <w:trHeight w:val="780"/>
        </w:trPr>
        <w:tc>
          <w:tcPr>
            <w:tcW w:w="4111" w:type="dxa"/>
            <w:shd w:val="clear" w:color="auto" w:fill="auto"/>
          </w:tcPr>
          <w:p w14:paraId="44219461" w14:textId="77777777" w:rsidR="00E500CF" w:rsidRPr="00EB6A30" w:rsidRDefault="00E500CF" w:rsidP="00987ACB">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57462F3E" w14:textId="77777777" w:rsidR="00E500CF" w:rsidRDefault="00E500CF" w:rsidP="00987ACB">
            <w:pPr>
              <w:tabs>
                <w:tab w:val="left" w:pos="720"/>
              </w:tabs>
              <w:jc w:val="both"/>
              <w:rPr>
                <w:rFonts w:ascii="Arial" w:hAnsi="Arial" w:cs="Arial"/>
                <w:sz w:val="20"/>
              </w:rPr>
            </w:pPr>
          </w:p>
          <w:p w14:paraId="3A8F4DD7" w14:textId="1BCFF973" w:rsidR="002E453E" w:rsidRPr="00FB2E48" w:rsidRDefault="00175644" w:rsidP="002E7887">
            <w:pPr>
              <w:pStyle w:val="ListParagraph"/>
              <w:numPr>
                <w:ilvl w:val="0"/>
                <w:numId w:val="34"/>
              </w:numPr>
              <w:tabs>
                <w:tab w:val="left" w:pos="720"/>
              </w:tabs>
              <w:spacing w:line="276" w:lineRule="auto"/>
              <w:jc w:val="both"/>
              <w:rPr>
                <w:rFonts w:ascii="Arial" w:hAnsi="Arial" w:cs="Arial"/>
                <w:sz w:val="20"/>
              </w:rPr>
            </w:pPr>
            <w:r>
              <w:rPr>
                <w:rFonts w:ascii="Arial" w:hAnsi="Arial" w:cs="Arial"/>
                <w:sz w:val="20"/>
              </w:rPr>
              <w:t>None</w:t>
            </w:r>
          </w:p>
        </w:tc>
        <w:tc>
          <w:tcPr>
            <w:tcW w:w="4939" w:type="dxa"/>
            <w:shd w:val="clear" w:color="auto" w:fill="auto"/>
          </w:tcPr>
          <w:p w14:paraId="26AA15A9" w14:textId="77777777" w:rsidR="00E500CF" w:rsidRDefault="005C2E51" w:rsidP="005C7FE5">
            <w:pPr>
              <w:tabs>
                <w:tab w:val="left" w:pos="720"/>
              </w:tabs>
              <w:jc w:val="both"/>
              <w:rPr>
                <w:rFonts w:ascii="Arial" w:hAnsi="Arial" w:cs="Arial"/>
                <w:sz w:val="20"/>
              </w:rPr>
            </w:pPr>
            <w:r>
              <w:rPr>
                <w:rFonts w:ascii="Arial" w:hAnsi="Arial" w:cs="Arial"/>
                <w:sz w:val="20"/>
              </w:rPr>
              <w:t>Potential Suppliers:</w:t>
            </w:r>
          </w:p>
          <w:p w14:paraId="660DC517" w14:textId="77777777" w:rsidR="00FB1E51" w:rsidRPr="00612F56" w:rsidRDefault="00FB1E51" w:rsidP="005C7FE5">
            <w:pPr>
              <w:tabs>
                <w:tab w:val="left" w:pos="720"/>
              </w:tabs>
              <w:jc w:val="both"/>
              <w:rPr>
                <w:rFonts w:ascii="Arial" w:hAnsi="Arial" w:cs="Arial"/>
                <w:sz w:val="20"/>
              </w:rPr>
            </w:pPr>
          </w:p>
          <w:p w14:paraId="394EF53F" w14:textId="2AECCCB8" w:rsidR="001A1B65" w:rsidRPr="00692B80" w:rsidRDefault="001A1B65" w:rsidP="00FB1E51">
            <w:pPr>
              <w:pStyle w:val="ListParagraph"/>
              <w:numPr>
                <w:ilvl w:val="0"/>
                <w:numId w:val="34"/>
              </w:numPr>
              <w:rPr>
                <w:rFonts w:ascii="Arial" w:hAnsi="Arial" w:cs="Arial"/>
                <w:sz w:val="20"/>
              </w:rPr>
            </w:pPr>
            <w:r>
              <w:rPr>
                <w:rFonts w:ascii="Arial" w:hAnsi="Arial" w:cs="Arial"/>
                <w:sz w:val="20"/>
              </w:rPr>
              <w:t>Open market</w:t>
            </w:r>
          </w:p>
        </w:tc>
      </w:tr>
    </w:tbl>
    <w:p w14:paraId="56A6EA09" w14:textId="77777777" w:rsidR="00874A63" w:rsidRDefault="00874A63" w:rsidP="00EB6A30">
      <w:pPr>
        <w:spacing w:line="276" w:lineRule="auto"/>
        <w:rPr>
          <w:rFonts w:ascii="Arial" w:hAnsi="Arial" w:cs="Arial"/>
          <w:b/>
          <w:sz w:val="22"/>
        </w:rPr>
      </w:pPr>
    </w:p>
    <w:p w14:paraId="5C6D2EAA" w14:textId="4E0D85ED"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w:t>
      </w:r>
      <w:r w:rsidR="00546E27">
        <w:rPr>
          <w:rFonts w:ascii="Arial" w:hAnsi="Arial" w:cs="Arial"/>
          <w:b/>
          <w:sz w:val="22"/>
        </w:rPr>
        <w:t>6</w:t>
      </w:r>
      <w:r>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lastRenderedPageBreak/>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sworn affidavit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182C526F" w14:textId="14A1684D" w:rsidR="00874A63" w:rsidRDefault="00874A63" w:rsidP="00304117">
      <w:pPr>
        <w:pBdr>
          <w:bottom w:val="single" w:sz="12" w:space="1" w:color="auto"/>
        </w:pBdr>
        <w:tabs>
          <w:tab w:val="left" w:pos="720"/>
        </w:tabs>
        <w:jc w:val="both"/>
        <w:rPr>
          <w:rFonts w:ascii="Arial" w:hAnsi="Arial" w:cs="Arial"/>
          <w:b/>
          <w:sz w:val="20"/>
        </w:rPr>
      </w:pPr>
    </w:p>
    <w:p w14:paraId="438A9D09" w14:textId="37B72E2C" w:rsidR="00175644" w:rsidRDefault="00175644" w:rsidP="00304117">
      <w:pPr>
        <w:pBdr>
          <w:bottom w:val="single" w:sz="12" w:space="1" w:color="auto"/>
        </w:pBdr>
        <w:tabs>
          <w:tab w:val="left" w:pos="720"/>
        </w:tabs>
        <w:jc w:val="both"/>
        <w:rPr>
          <w:rFonts w:ascii="Arial" w:hAnsi="Arial" w:cs="Arial"/>
          <w:b/>
          <w:sz w:val="20"/>
        </w:rPr>
      </w:pPr>
    </w:p>
    <w:p w14:paraId="09590270" w14:textId="77777777" w:rsidR="00175644" w:rsidRDefault="00175644" w:rsidP="00304117">
      <w:pPr>
        <w:pBdr>
          <w:bottom w:val="single" w:sz="12" w:space="1" w:color="auto"/>
        </w:pBdr>
        <w:tabs>
          <w:tab w:val="left" w:pos="720"/>
        </w:tabs>
        <w:jc w:val="both"/>
        <w:rPr>
          <w:rFonts w:ascii="Arial" w:hAnsi="Arial" w:cs="Arial"/>
          <w:b/>
          <w:sz w:val="20"/>
        </w:rPr>
      </w:pPr>
    </w:p>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637D14" w14:paraId="6E8F1A61" w14:textId="77777777" w:rsidTr="00637D14">
        <w:tc>
          <w:tcPr>
            <w:tcW w:w="4508" w:type="dxa"/>
          </w:tcPr>
          <w:p w14:paraId="776322B8" w14:textId="4C2515F6" w:rsidR="00637D14" w:rsidRDefault="00637D14" w:rsidP="006E4F88">
            <w:pPr>
              <w:tabs>
                <w:tab w:val="left" w:pos="720"/>
              </w:tabs>
              <w:jc w:val="both"/>
              <w:rPr>
                <w:rFonts w:ascii="Arial" w:hAnsi="Arial" w:cs="Arial"/>
                <w:sz w:val="20"/>
              </w:rPr>
            </w:pPr>
            <w:r w:rsidRPr="000C5130">
              <w:rPr>
                <w:rFonts w:ascii="Arial" w:hAnsi="Arial" w:cs="Arial"/>
                <w:sz w:val="20"/>
              </w:rPr>
              <w:t>Compiled by:</w:t>
            </w:r>
            <w:r>
              <w:rPr>
                <w:rFonts w:ascii="Arial" w:hAnsi="Arial" w:cs="Arial"/>
                <w:sz w:val="20"/>
              </w:rPr>
              <w:t xml:space="preserve"> </w:t>
            </w:r>
            <w:r w:rsidR="005A140D">
              <w:rPr>
                <w:rFonts w:ascii="Arial" w:hAnsi="Arial" w:cs="Arial"/>
                <w:sz w:val="20"/>
              </w:rPr>
              <w:t>Thomas Chuene</w:t>
            </w:r>
          </w:p>
        </w:tc>
        <w:tc>
          <w:tcPr>
            <w:tcW w:w="4508" w:type="dxa"/>
          </w:tcPr>
          <w:p w14:paraId="3137E81A" w14:textId="77777777" w:rsidR="00637D14" w:rsidRDefault="00637D14" w:rsidP="00637D14">
            <w:pPr>
              <w:tabs>
                <w:tab w:val="left" w:pos="720"/>
              </w:tabs>
              <w:jc w:val="both"/>
              <w:rPr>
                <w:rFonts w:ascii="Arial" w:hAnsi="Arial" w:cs="Arial"/>
                <w:sz w:val="20"/>
              </w:rPr>
            </w:pPr>
          </w:p>
        </w:tc>
        <w:tc>
          <w:tcPr>
            <w:tcW w:w="4508"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264CD31D" w14:textId="77777777" w:rsidTr="00637D14">
        <w:tc>
          <w:tcPr>
            <w:tcW w:w="4508" w:type="dxa"/>
          </w:tcPr>
          <w:p w14:paraId="02F3F959" w14:textId="77777777" w:rsidR="00637D14" w:rsidRDefault="00637D14" w:rsidP="00304117">
            <w:pPr>
              <w:tabs>
                <w:tab w:val="left" w:pos="720"/>
              </w:tabs>
              <w:jc w:val="both"/>
              <w:rPr>
                <w:rFonts w:ascii="Arial" w:hAnsi="Arial" w:cs="Arial"/>
                <w:sz w:val="20"/>
              </w:rPr>
            </w:pPr>
          </w:p>
          <w:p w14:paraId="64B1736B" w14:textId="77777777" w:rsidR="00140917" w:rsidRPr="00AC3774" w:rsidRDefault="00140917" w:rsidP="00304117">
            <w:pPr>
              <w:tabs>
                <w:tab w:val="left" w:pos="720"/>
              </w:tabs>
              <w:jc w:val="both"/>
              <w:rPr>
                <w:rFonts w:ascii="Arial" w:hAnsi="Arial" w:cs="Arial"/>
                <w:sz w:val="20"/>
              </w:rPr>
            </w:pPr>
          </w:p>
          <w:p w14:paraId="06A5B089" w14:textId="77777777" w:rsidR="00637D14" w:rsidRPr="00AC3774" w:rsidRDefault="00637D14" w:rsidP="00304117">
            <w:pPr>
              <w:tabs>
                <w:tab w:val="left" w:pos="720"/>
              </w:tabs>
              <w:jc w:val="both"/>
              <w:rPr>
                <w:rFonts w:ascii="Arial" w:hAnsi="Arial" w:cs="Arial"/>
                <w:sz w:val="20"/>
              </w:rPr>
            </w:pPr>
            <w:r w:rsidRPr="00AC3774">
              <w:rPr>
                <w:rFonts w:ascii="Arial" w:hAnsi="Arial" w:cs="Arial"/>
                <w:sz w:val="20"/>
              </w:rPr>
              <w:t>……………………………..</w:t>
            </w:r>
          </w:p>
          <w:p w14:paraId="1D722807" w14:textId="77777777" w:rsidR="00637D14" w:rsidRPr="00AC3774" w:rsidRDefault="00637D14" w:rsidP="00AC3774">
            <w:pPr>
              <w:tabs>
                <w:tab w:val="left" w:pos="720"/>
              </w:tabs>
              <w:jc w:val="both"/>
              <w:rPr>
                <w:rFonts w:ascii="Arial" w:hAnsi="Arial" w:cs="Arial"/>
                <w:sz w:val="20"/>
              </w:rPr>
            </w:pPr>
            <w:r>
              <w:rPr>
                <w:rFonts w:ascii="Arial" w:hAnsi="Arial" w:cs="Arial"/>
                <w:sz w:val="20"/>
              </w:rPr>
              <w:t>Senior Advisor</w:t>
            </w:r>
          </w:p>
        </w:tc>
        <w:tc>
          <w:tcPr>
            <w:tcW w:w="4508" w:type="dxa"/>
          </w:tcPr>
          <w:p w14:paraId="3F76471F" w14:textId="77777777" w:rsidR="00637D14" w:rsidRPr="00AC3774" w:rsidRDefault="00637D14" w:rsidP="00637D14">
            <w:pPr>
              <w:tabs>
                <w:tab w:val="left" w:pos="720"/>
              </w:tabs>
              <w:jc w:val="both"/>
              <w:rPr>
                <w:rFonts w:ascii="Arial" w:hAnsi="Arial" w:cs="Arial"/>
                <w:sz w:val="20"/>
              </w:rPr>
            </w:pPr>
          </w:p>
        </w:tc>
        <w:tc>
          <w:tcPr>
            <w:tcW w:w="4508" w:type="dxa"/>
          </w:tcPr>
          <w:p w14:paraId="37933B0A" w14:textId="77777777" w:rsidR="00637D14" w:rsidRPr="00AC3774" w:rsidRDefault="00637D14" w:rsidP="00304117">
            <w:pPr>
              <w:tabs>
                <w:tab w:val="left" w:pos="720"/>
              </w:tabs>
              <w:jc w:val="both"/>
              <w:rPr>
                <w:rFonts w:ascii="Arial" w:hAnsi="Arial" w:cs="Arial"/>
                <w:sz w:val="20"/>
              </w:rPr>
            </w:pPr>
          </w:p>
        </w:tc>
      </w:tr>
      <w:tr w:rsidR="00637D14" w:rsidRPr="00AC3774" w14:paraId="1A86FEC1" w14:textId="77777777" w:rsidTr="00637D14">
        <w:tc>
          <w:tcPr>
            <w:tcW w:w="4508" w:type="dxa"/>
          </w:tcPr>
          <w:p w14:paraId="6C4BC943" w14:textId="77777777" w:rsidR="00637D14" w:rsidRPr="00AC3774" w:rsidRDefault="00637D14" w:rsidP="00390CA7">
            <w:pPr>
              <w:tabs>
                <w:tab w:val="left" w:pos="720"/>
              </w:tabs>
              <w:rPr>
                <w:rFonts w:ascii="Arial" w:hAnsi="Arial" w:cs="Arial"/>
                <w:sz w:val="20"/>
              </w:rPr>
            </w:pPr>
            <w:r w:rsidRPr="00AC3774">
              <w:rPr>
                <w:rFonts w:ascii="Arial" w:hAnsi="Arial" w:cs="Arial"/>
                <w:sz w:val="20"/>
              </w:rPr>
              <w:t>Supplier Development</w:t>
            </w:r>
            <w:r>
              <w:rPr>
                <w:rFonts w:ascii="Arial" w:hAnsi="Arial" w:cs="Arial"/>
                <w:sz w:val="20"/>
              </w:rPr>
              <w:t>, Localis</w:t>
            </w:r>
            <w:r w:rsidRPr="00AC3774">
              <w:rPr>
                <w:rFonts w:ascii="Arial" w:hAnsi="Arial" w:cs="Arial"/>
                <w:sz w:val="20"/>
              </w:rPr>
              <w:t>ation</w:t>
            </w:r>
            <w:r>
              <w:rPr>
                <w:rFonts w:ascii="Arial" w:hAnsi="Arial" w:cs="Arial"/>
                <w:sz w:val="20"/>
              </w:rPr>
              <w:t xml:space="preserve"> and Industrialisation</w:t>
            </w:r>
          </w:p>
        </w:tc>
        <w:tc>
          <w:tcPr>
            <w:tcW w:w="4508" w:type="dxa"/>
          </w:tcPr>
          <w:p w14:paraId="3275055A" w14:textId="77777777" w:rsidR="00637D14" w:rsidRPr="00AC3774" w:rsidRDefault="00637D14" w:rsidP="00750B4A">
            <w:pPr>
              <w:tabs>
                <w:tab w:val="left" w:pos="720"/>
              </w:tabs>
              <w:jc w:val="both"/>
              <w:rPr>
                <w:rFonts w:ascii="Arial" w:hAnsi="Arial" w:cs="Arial"/>
                <w:sz w:val="20"/>
              </w:rPr>
            </w:pPr>
          </w:p>
        </w:tc>
        <w:tc>
          <w:tcPr>
            <w:tcW w:w="4508" w:type="dxa"/>
          </w:tcPr>
          <w:p w14:paraId="4E5B2AD5" w14:textId="77777777" w:rsidR="00637D14" w:rsidRPr="00AC3774" w:rsidRDefault="00637D14" w:rsidP="00304117">
            <w:pPr>
              <w:tabs>
                <w:tab w:val="left" w:pos="720"/>
              </w:tabs>
              <w:jc w:val="both"/>
              <w:rPr>
                <w:rFonts w:ascii="Arial" w:hAnsi="Arial" w:cs="Arial"/>
                <w:sz w:val="20"/>
              </w:rPr>
            </w:pPr>
          </w:p>
        </w:tc>
      </w:tr>
      <w:tr w:rsidR="00637D14" w14:paraId="04D52B15" w14:textId="77777777" w:rsidTr="00637D14">
        <w:tc>
          <w:tcPr>
            <w:tcW w:w="4508" w:type="dxa"/>
          </w:tcPr>
          <w:p w14:paraId="47E7EFA1" w14:textId="77777777" w:rsidR="00637D14" w:rsidRPr="00AC3774" w:rsidRDefault="00637D14" w:rsidP="00304117">
            <w:pPr>
              <w:tabs>
                <w:tab w:val="left" w:pos="720"/>
              </w:tabs>
              <w:jc w:val="both"/>
              <w:rPr>
                <w:rFonts w:ascii="Arial" w:hAnsi="Arial" w:cs="Arial"/>
                <w:sz w:val="20"/>
              </w:rPr>
            </w:pPr>
          </w:p>
          <w:p w14:paraId="27E0D233" w14:textId="1B362511" w:rsidR="00637D14" w:rsidRPr="00AC3774" w:rsidRDefault="00CB4DCA" w:rsidP="00FB1E51">
            <w:pPr>
              <w:tabs>
                <w:tab w:val="left" w:pos="720"/>
              </w:tabs>
              <w:jc w:val="both"/>
              <w:rPr>
                <w:rFonts w:ascii="Arial" w:hAnsi="Arial" w:cs="Arial"/>
                <w:sz w:val="20"/>
              </w:rPr>
            </w:pPr>
            <w:r>
              <w:rPr>
                <w:rFonts w:ascii="Arial" w:hAnsi="Arial" w:cs="Arial"/>
                <w:sz w:val="20"/>
              </w:rPr>
              <w:t>Date:</w:t>
            </w:r>
            <w:r w:rsidR="00FB1E51">
              <w:rPr>
                <w:rFonts w:ascii="Arial" w:hAnsi="Arial" w:cs="Arial"/>
                <w:sz w:val="20"/>
              </w:rPr>
              <w:t xml:space="preserve"> </w:t>
            </w:r>
            <w:r w:rsidR="005A140D">
              <w:rPr>
                <w:rFonts w:ascii="Arial" w:hAnsi="Arial" w:cs="Arial"/>
                <w:sz w:val="20"/>
              </w:rPr>
              <w:t>27 January 2025</w:t>
            </w:r>
          </w:p>
        </w:tc>
        <w:tc>
          <w:tcPr>
            <w:tcW w:w="4508" w:type="dxa"/>
          </w:tcPr>
          <w:p w14:paraId="76ECB8C7" w14:textId="77777777" w:rsidR="00637D14" w:rsidRPr="00AC3774" w:rsidRDefault="00637D14" w:rsidP="00637D14">
            <w:pPr>
              <w:tabs>
                <w:tab w:val="left" w:pos="720"/>
              </w:tabs>
              <w:jc w:val="both"/>
              <w:rPr>
                <w:rFonts w:ascii="Arial" w:hAnsi="Arial" w:cs="Arial"/>
                <w:sz w:val="20"/>
              </w:rPr>
            </w:pPr>
          </w:p>
        </w:tc>
        <w:tc>
          <w:tcPr>
            <w:tcW w:w="4508" w:type="dxa"/>
          </w:tcPr>
          <w:p w14:paraId="7279AAB8" w14:textId="77777777" w:rsidR="00637D14" w:rsidRPr="00AC3774" w:rsidRDefault="00637D14" w:rsidP="00304117">
            <w:pPr>
              <w:tabs>
                <w:tab w:val="left" w:pos="720"/>
              </w:tabs>
              <w:jc w:val="both"/>
              <w:rPr>
                <w:rFonts w:ascii="Arial" w:hAnsi="Arial" w:cs="Arial"/>
                <w:sz w:val="20"/>
              </w:rPr>
            </w:pPr>
          </w:p>
          <w:p w14:paraId="40973B92" w14:textId="77777777" w:rsidR="00637D14" w:rsidRPr="00AC3774" w:rsidRDefault="00637D14" w:rsidP="00304117">
            <w:pPr>
              <w:tabs>
                <w:tab w:val="left" w:pos="720"/>
              </w:tabs>
              <w:jc w:val="both"/>
              <w:rPr>
                <w:rFonts w:ascii="Arial" w:hAnsi="Arial" w:cs="Arial"/>
                <w:sz w:val="20"/>
              </w:rPr>
            </w:pPr>
          </w:p>
        </w:tc>
      </w:tr>
    </w:tbl>
    <w:p w14:paraId="00E26C58" w14:textId="77777777" w:rsidR="00B70E33" w:rsidRDefault="00B70E33" w:rsidP="00692B80">
      <w:pPr>
        <w:rPr>
          <w:rFonts w:ascii="Arial" w:hAnsi="Arial" w:cs="Arial"/>
          <w:sz w:val="20"/>
          <w:lang w:val="en-GB"/>
        </w:rPr>
      </w:pPr>
    </w:p>
    <w:sectPr w:rsidR="00B70E33" w:rsidSect="0030411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6B7D7" w14:textId="77777777" w:rsidR="004F3721" w:rsidRDefault="004F3721" w:rsidP="00201A98">
      <w:r>
        <w:separator/>
      </w:r>
    </w:p>
  </w:endnote>
  <w:endnote w:type="continuationSeparator" w:id="0">
    <w:p w14:paraId="15493E73" w14:textId="77777777" w:rsidR="004F3721" w:rsidRDefault="004F3721"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54553" w14:textId="77777777" w:rsidR="00D5588B" w:rsidRDefault="00D55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7860C" w14:textId="77777777" w:rsidR="00D5588B" w:rsidRDefault="00D55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C45DE" w14:textId="77777777" w:rsidR="004F3721" w:rsidRDefault="004F3721" w:rsidP="00201A98">
      <w:r>
        <w:separator/>
      </w:r>
    </w:p>
  </w:footnote>
  <w:footnote w:type="continuationSeparator" w:id="0">
    <w:p w14:paraId="29A9EEC5" w14:textId="77777777" w:rsidR="004F3721" w:rsidRDefault="004F3721"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C728F" w14:textId="77777777" w:rsidR="00D5588B" w:rsidRDefault="00D55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BC2207" w:rsidRPr="00116E60" w14:paraId="2C78AF87" w14:textId="77777777" w:rsidTr="00105474">
      <w:trPr>
        <w:cantSplit/>
        <w:trHeight w:val="263"/>
        <w:jc w:val="center"/>
      </w:trPr>
      <w:tc>
        <w:tcPr>
          <w:tcW w:w="2410" w:type="dxa"/>
          <w:vMerge w:val="restart"/>
          <w:vAlign w:val="bottom"/>
        </w:tcPr>
        <w:p w14:paraId="5C0BF010" w14:textId="77777777" w:rsidR="00BC2207" w:rsidRPr="003914DE" w:rsidRDefault="00000000" w:rsidP="00BC2207">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99469952" r:id="rId2"/>
            </w:object>
          </w:r>
        </w:p>
      </w:tc>
      <w:tc>
        <w:tcPr>
          <w:tcW w:w="3544" w:type="dxa"/>
          <w:vMerge w:val="restart"/>
          <w:vAlign w:val="center"/>
        </w:tcPr>
        <w:p w14:paraId="51058E85" w14:textId="14B70B21" w:rsidR="00BC2207" w:rsidRPr="00CA666C" w:rsidRDefault="00BC2207" w:rsidP="00BC2207">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w:t>
          </w:r>
        </w:p>
      </w:tc>
      <w:tc>
        <w:tcPr>
          <w:tcW w:w="1795" w:type="dxa"/>
          <w:shd w:val="clear" w:color="auto" w:fill="auto"/>
          <w:vAlign w:val="center"/>
        </w:tcPr>
        <w:p w14:paraId="5D39760E" w14:textId="73C801E2" w:rsidR="00BC2207" w:rsidRPr="00105474" w:rsidRDefault="00BC2207" w:rsidP="00BC2207">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3E74811F" w:rsidR="00BC2207" w:rsidRPr="00105474" w:rsidRDefault="00BC2207" w:rsidP="00BC2207">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53F8F567" w14:textId="520DE4DF" w:rsidR="00BC2207" w:rsidRPr="00105474" w:rsidRDefault="00BC2207" w:rsidP="00BC2207">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3A82FA5E" w:rsidR="00BC2207" w:rsidRPr="00105474" w:rsidRDefault="00BC2207" w:rsidP="00BC2207">
          <w:pPr>
            <w:rPr>
              <w:rFonts w:ascii="Arial" w:hAnsi="Arial"/>
              <w:sz w:val="16"/>
              <w:lang w:val="en-GB"/>
            </w:rPr>
          </w:pPr>
          <w:r>
            <w:rPr>
              <w:rFonts w:ascii="Arial" w:hAnsi="Arial"/>
              <w:sz w:val="16"/>
              <w:lang w:val="en-GB"/>
            </w:rPr>
            <w:t>4</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2681A4A8" w:rsidR="00B3212E" w:rsidRPr="00105474" w:rsidRDefault="00E86B6C"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63699DD0" w:rsidR="00B3212E" w:rsidRPr="00105474" w:rsidRDefault="00E86B6C" w:rsidP="00B3212E">
          <w:pPr>
            <w:rPr>
              <w:rFonts w:ascii="Arial" w:hAnsi="Arial"/>
              <w:sz w:val="16"/>
              <w:lang w:val="en-GB"/>
            </w:rPr>
          </w:pPr>
          <w:r>
            <w:rPr>
              <w:rFonts w:ascii="Arial" w:hAnsi="Arial"/>
              <w:sz w:val="16"/>
              <w:lang w:val="en-GB"/>
            </w:rPr>
            <w:t>April 202</w:t>
          </w:r>
          <w:r w:rsidR="006C5DB9">
            <w:rPr>
              <w:rFonts w:ascii="Arial" w:hAnsi="Arial"/>
              <w:sz w:val="16"/>
              <w:lang w:val="en-GB"/>
            </w:rPr>
            <w:t>6</w:t>
          </w:r>
        </w:p>
      </w:tc>
    </w:tr>
  </w:tbl>
  <w:p w14:paraId="77C5202C"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BB096" w14:textId="77777777" w:rsidR="00D5588B" w:rsidRDefault="00D5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12214A"/>
    <w:multiLevelType w:val="hybridMultilevel"/>
    <w:tmpl w:val="C3CE6A3A"/>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9"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1"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2"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5"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6"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1"/>
  </w:num>
  <w:num w:numId="3" w16cid:durableId="1636983690">
    <w:abstractNumId w:val="32"/>
  </w:num>
  <w:num w:numId="4" w16cid:durableId="1049838470">
    <w:abstractNumId w:val="4"/>
  </w:num>
  <w:num w:numId="5" w16cid:durableId="747270413">
    <w:abstractNumId w:val="15"/>
  </w:num>
  <w:num w:numId="6" w16cid:durableId="298614127">
    <w:abstractNumId w:val="19"/>
  </w:num>
  <w:num w:numId="7" w16cid:durableId="886451534">
    <w:abstractNumId w:val="38"/>
  </w:num>
  <w:num w:numId="8" w16cid:durableId="1364016205">
    <w:abstractNumId w:val="7"/>
  </w:num>
  <w:num w:numId="9" w16cid:durableId="501093778">
    <w:abstractNumId w:val="23"/>
  </w:num>
  <w:num w:numId="10" w16cid:durableId="296688292">
    <w:abstractNumId w:val="28"/>
  </w:num>
  <w:num w:numId="11" w16cid:durableId="1367868149">
    <w:abstractNumId w:val="35"/>
  </w:num>
  <w:num w:numId="12" w16cid:durableId="1739786048">
    <w:abstractNumId w:val="13"/>
  </w:num>
  <w:num w:numId="13" w16cid:durableId="621349608">
    <w:abstractNumId w:val="24"/>
  </w:num>
  <w:num w:numId="14" w16cid:durableId="416682265">
    <w:abstractNumId w:val="17"/>
  </w:num>
  <w:num w:numId="15" w16cid:durableId="867644372">
    <w:abstractNumId w:val="18"/>
  </w:num>
  <w:num w:numId="16" w16cid:durableId="1411199536">
    <w:abstractNumId w:val="2"/>
  </w:num>
  <w:num w:numId="17" w16cid:durableId="768938162">
    <w:abstractNumId w:val="21"/>
  </w:num>
  <w:num w:numId="18" w16cid:durableId="1103381334">
    <w:abstractNumId w:val="8"/>
  </w:num>
  <w:num w:numId="19" w16cid:durableId="1185709056">
    <w:abstractNumId w:val="30"/>
  </w:num>
  <w:num w:numId="20" w16cid:durableId="160703720">
    <w:abstractNumId w:val="14"/>
  </w:num>
  <w:num w:numId="21" w16cid:durableId="1083262651">
    <w:abstractNumId w:val="25"/>
  </w:num>
  <w:num w:numId="22" w16cid:durableId="594288937">
    <w:abstractNumId w:val="16"/>
  </w:num>
  <w:num w:numId="23" w16cid:durableId="137694747">
    <w:abstractNumId w:val="36"/>
  </w:num>
  <w:num w:numId="24" w16cid:durableId="1635332457">
    <w:abstractNumId w:val="22"/>
  </w:num>
  <w:num w:numId="25" w16cid:durableId="356195997">
    <w:abstractNumId w:val="12"/>
  </w:num>
  <w:num w:numId="26" w16cid:durableId="1068723575">
    <w:abstractNumId w:val="14"/>
  </w:num>
  <w:num w:numId="27" w16cid:durableId="1280183404">
    <w:abstractNumId w:val="42"/>
  </w:num>
  <w:num w:numId="28" w16cid:durableId="391970900">
    <w:abstractNumId w:val="27"/>
  </w:num>
  <w:num w:numId="29" w16cid:durableId="2142724945">
    <w:abstractNumId w:val="6"/>
  </w:num>
  <w:num w:numId="30" w16cid:durableId="1111973304">
    <w:abstractNumId w:val="33"/>
  </w:num>
  <w:num w:numId="31" w16cid:durableId="1998069011">
    <w:abstractNumId w:val="44"/>
  </w:num>
  <w:num w:numId="32" w16cid:durableId="1712143695">
    <w:abstractNumId w:val="40"/>
  </w:num>
  <w:num w:numId="33" w16cid:durableId="778767238">
    <w:abstractNumId w:val="34"/>
  </w:num>
  <w:num w:numId="34" w16cid:durableId="1249457635">
    <w:abstractNumId w:val="43"/>
  </w:num>
  <w:num w:numId="35" w16cid:durableId="1195466582">
    <w:abstractNumId w:val="20"/>
  </w:num>
  <w:num w:numId="36" w16cid:durableId="937130701">
    <w:abstractNumId w:val="41"/>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39"/>
  </w:num>
  <w:num w:numId="41" w16cid:durableId="986789375">
    <w:abstractNumId w:val="5"/>
  </w:num>
  <w:num w:numId="42" w16cid:durableId="733353706">
    <w:abstractNumId w:val="0"/>
  </w:num>
  <w:num w:numId="43" w16cid:durableId="859053093">
    <w:abstractNumId w:val="29"/>
  </w:num>
  <w:num w:numId="44" w16cid:durableId="2065517844">
    <w:abstractNumId w:val="1"/>
  </w:num>
  <w:num w:numId="45" w16cid:durableId="1979189320">
    <w:abstractNumId w:val="37"/>
  </w:num>
  <w:num w:numId="46" w16cid:durableId="79202275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23030"/>
    <w:rsid w:val="000263D8"/>
    <w:rsid w:val="00067DC9"/>
    <w:rsid w:val="00074C17"/>
    <w:rsid w:val="00077A57"/>
    <w:rsid w:val="0009108C"/>
    <w:rsid w:val="00097047"/>
    <w:rsid w:val="000A01FA"/>
    <w:rsid w:val="000A386C"/>
    <w:rsid w:val="000A648D"/>
    <w:rsid w:val="000B165C"/>
    <w:rsid w:val="000B28F1"/>
    <w:rsid w:val="000B6B22"/>
    <w:rsid w:val="000B7D6D"/>
    <w:rsid w:val="000C33EB"/>
    <w:rsid w:val="000C6C73"/>
    <w:rsid w:val="000D4357"/>
    <w:rsid w:val="000E1AB5"/>
    <w:rsid w:val="000F528A"/>
    <w:rsid w:val="001022DD"/>
    <w:rsid w:val="00105474"/>
    <w:rsid w:val="00111B2E"/>
    <w:rsid w:val="00113DFD"/>
    <w:rsid w:val="00115ECC"/>
    <w:rsid w:val="00140917"/>
    <w:rsid w:val="001477A3"/>
    <w:rsid w:val="00151F81"/>
    <w:rsid w:val="001521AD"/>
    <w:rsid w:val="00154240"/>
    <w:rsid w:val="00155040"/>
    <w:rsid w:val="00155248"/>
    <w:rsid w:val="001645BF"/>
    <w:rsid w:val="00173BE4"/>
    <w:rsid w:val="00175644"/>
    <w:rsid w:val="001829A7"/>
    <w:rsid w:val="001A1B65"/>
    <w:rsid w:val="001A408A"/>
    <w:rsid w:val="001A57D9"/>
    <w:rsid w:val="001B2323"/>
    <w:rsid w:val="001B3B2A"/>
    <w:rsid w:val="001C599B"/>
    <w:rsid w:val="001C61B6"/>
    <w:rsid w:val="001D0409"/>
    <w:rsid w:val="001D042C"/>
    <w:rsid w:val="001D1614"/>
    <w:rsid w:val="001D391D"/>
    <w:rsid w:val="001D3F40"/>
    <w:rsid w:val="001E334E"/>
    <w:rsid w:val="001E4F28"/>
    <w:rsid w:val="001E64BB"/>
    <w:rsid w:val="00201A98"/>
    <w:rsid w:val="00203FB8"/>
    <w:rsid w:val="002114AF"/>
    <w:rsid w:val="002319CA"/>
    <w:rsid w:val="002341C9"/>
    <w:rsid w:val="00253B8A"/>
    <w:rsid w:val="002632AA"/>
    <w:rsid w:val="00267F52"/>
    <w:rsid w:val="00270763"/>
    <w:rsid w:val="0027500D"/>
    <w:rsid w:val="002763F5"/>
    <w:rsid w:val="00276C45"/>
    <w:rsid w:val="0027700C"/>
    <w:rsid w:val="00280506"/>
    <w:rsid w:val="002855B7"/>
    <w:rsid w:val="00296B82"/>
    <w:rsid w:val="002A7C4A"/>
    <w:rsid w:val="002B02CB"/>
    <w:rsid w:val="002B19FA"/>
    <w:rsid w:val="002B7514"/>
    <w:rsid w:val="002C7842"/>
    <w:rsid w:val="002E453E"/>
    <w:rsid w:val="002E7887"/>
    <w:rsid w:val="002F4F5C"/>
    <w:rsid w:val="00304117"/>
    <w:rsid w:val="003113D9"/>
    <w:rsid w:val="003127C7"/>
    <w:rsid w:val="00317372"/>
    <w:rsid w:val="0032593D"/>
    <w:rsid w:val="00325D2C"/>
    <w:rsid w:val="003317CA"/>
    <w:rsid w:val="00332369"/>
    <w:rsid w:val="003363BE"/>
    <w:rsid w:val="00336747"/>
    <w:rsid w:val="003462C3"/>
    <w:rsid w:val="00347894"/>
    <w:rsid w:val="00354047"/>
    <w:rsid w:val="003633CD"/>
    <w:rsid w:val="00373CF8"/>
    <w:rsid w:val="0037426F"/>
    <w:rsid w:val="0037609B"/>
    <w:rsid w:val="003840F2"/>
    <w:rsid w:val="00390CA7"/>
    <w:rsid w:val="003914DE"/>
    <w:rsid w:val="0039219D"/>
    <w:rsid w:val="003A4D65"/>
    <w:rsid w:val="003B3ABD"/>
    <w:rsid w:val="003C07F4"/>
    <w:rsid w:val="003C18B8"/>
    <w:rsid w:val="003D48B8"/>
    <w:rsid w:val="003D66FA"/>
    <w:rsid w:val="003D78F9"/>
    <w:rsid w:val="003E052A"/>
    <w:rsid w:val="003E4D3F"/>
    <w:rsid w:val="003F2387"/>
    <w:rsid w:val="003F2785"/>
    <w:rsid w:val="003F3E07"/>
    <w:rsid w:val="003F59CF"/>
    <w:rsid w:val="003F7B1E"/>
    <w:rsid w:val="00404772"/>
    <w:rsid w:val="004251A4"/>
    <w:rsid w:val="004364AE"/>
    <w:rsid w:val="00457274"/>
    <w:rsid w:val="00460577"/>
    <w:rsid w:val="00470385"/>
    <w:rsid w:val="004705FF"/>
    <w:rsid w:val="00470A92"/>
    <w:rsid w:val="004857A1"/>
    <w:rsid w:val="004954EB"/>
    <w:rsid w:val="004C3176"/>
    <w:rsid w:val="004C38A6"/>
    <w:rsid w:val="004D00A8"/>
    <w:rsid w:val="004D1602"/>
    <w:rsid w:val="004E19F4"/>
    <w:rsid w:val="004E6C33"/>
    <w:rsid w:val="004E77C0"/>
    <w:rsid w:val="004E796C"/>
    <w:rsid w:val="004F07CB"/>
    <w:rsid w:val="004F117E"/>
    <w:rsid w:val="004F3721"/>
    <w:rsid w:val="004F578D"/>
    <w:rsid w:val="00504CE2"/>
    <w:rsid w:val="00506A41"/>
    <w:rsid w:val="005125A6"/>
    <w:rsid w:val="0051409A"/>
    <w:rsid w:val="00514EB4"/>
    <w:rsid w:val="00522B04"/>
    <w:rsid w:val="00534A84"/>
    <w:rsid w:val="005358BE"/>
    <w:rsid w:val="00546E27"/>
    <w:rsid w:val="00550760"/>
    <w:rsid w:val="00557071"/>
    <w:rsid w:val="00560EDB"/>
    <w:rsid w:val="00563AC1"/>
    <w:rsid w:val="005765A0"/>
    <w:rsid w:val="00586532"/>
    <w:rsid w:val="005908DD"/>
    <w:rsid w:val="0059543E"/>
    <w:rsid w:val="00596B3A"/>
    <w:rsid w:val="005A140D"/>
    <w:rsid w:val="005A39B7"/>
    <w:rsid w:val="005A62CE"/>
    <w:rsid w:val="005A63F7"/>
    <w:rsid w:val="005B5A73"/>
    <w:rsid w:val="005C2E51"/>
    <w:rsid w:val="005D7F0D"/>
    <w:rsid w:val="005E0073"/>
    <w:rsid w:val="005E3BE0"/>
    <w:rsid w:val="005E6044"/>
    <w:rsid w:val="00602047"/>
    <w:rsid w:val="006067AC"/>
    <w:rsid w:val="00607D65"/>
    <w:rsid w:val="0061034B"/>
    <w:rsid w:val="006260D8"/>
    <w:rsid w:val="00627923"/>
    <w:rsid w:val="00633969"/>
    <w:rsid w:val="00633B8B"/>
    <w:rsid w:val="0063746A"/>
    <w:rsid w:val="00637900"/>
    <w:rsid w:val="00637D14"/>
    <w:rsid w:val="0064741D"/>
    <w:rsid w:val="00655FCF"/>
    <w:rsid w:val="00657B8A"/>
    <w:rsid w:val="006714A6"/>
    <w:rsid w:val="00686AD4"/>
    <w:rsid w:val="00692B80"/>
    <w:rsid w:val="006A1569"/>
    <w:rsid w:val="006A443E"/>
    <w:rsid w:val="006A55C5"/>
    <w:rsid w:val="006A73A5"/>
    <w:rsid w:val="006B0DF7"/>
    <w:rsid w:val="006B3FA2"/>
    <w:rsid w:val="006B57DF"/>
    <w:rsid w:val="006C01E5"/>
    <w:rsid w:val="006C5DB9"/>
    <w:rsid w:val="006D07D5"/>
    <w:rsid w:val="006D6104"/>
    <w:rsid w:val="006E0940"/>
    <w:rsid w:val="006E14B5"/>
    <w:rsid w:val="006E1BFE"/>
    <w:rsid w:val="006E4F88"/>
    <w:rsid w:val="006E52BA"/>
    <w:rsid w:val="006F5D0A"/>
    <w:rsid w:val="006F7826"/>
    <w:rsid w:val="00702C96"/>
    <w:rsid w:val="00705512"/>
    <w:rsid w:val="00713E63"/>
    <w:rsid w:val="00720670"/>
    <w:rsid w:val="00730262"/>
    <w:rsid w:val="00732A3F"/>
    <w:rsid w:val="00732BC4"/>
    <w:rsid w:val="00733FE1"/>
    <w:rsid w:val="00761BE3"/>
    <w:rsid w:val="00766FB1"/>
    <w:rsid w:val="00766FE5"/>
    <w:rsid w:val="00784A54"/>
    <w:rsid w:val="00785295"/>
    <w:rsid w:val="00791C9C"/>
    <w:rsid w:val="0079769C"/>
    <w:rsid w:val="007A6DC8"/>
    <w:rsid w:val="007A6F13"/>
    <w:rsid w:val="007B57E6"/>
    <w:rsid w:val="007C0A56"/>
    <w:rsid w:val="007D4E0A"/>
    <w:rsid w:val="007D5975"/>
    <w:rsid w:val="007E0CE5"/>
    <w:rsid w:val="007F15E3"/>
    <w:rsid w:val="00810BAA"/>
    <w:rsid w:val="00825B67"/>
    <w:rsid w:val="008279D0"/>
    <w:rsid w:val="008326AE"/>
    <w:rsid w:val="00844D86"/>
    <w:rsid w:val="0084573D"/>
    <w:rsid w:val="00845A4B"/>
    <w:rsid w:val="0085043F"/>
    <w:rsid w:val="008525C7"/>
    <w:rsid w:val="00854874"/>
    <w:rsid w:val="00860294"/>
    <w:rsid w:val="00860C12"/>
    <w:rsid w:val="00861AE9"/>
    <w:rsid w:val="00861BE0"/>
    <w:rsid w:val="008723E9"/>
    <w:rsid w:val="00874A63"/>
    <w:rsid w:val="0088072F"/>
    <w:rsid w:val="00880865"/>
    <w:rsid w:val="0088295E"/>
    <w:rsid w:val="00886564"/>
    <w:rsid w:val="00893563"/>
    <w:rsid w:val="0089392A"/>
    <w:rsid w:val="00894E42"/>
    <w:rsid w:val="008951A9"/>
    <w:rsid w:val="0089757B"/>
    <w:rsid w:val="008A3FC8"/>
    <w:rsid w:val="008A66CD"/>
    <w:rsid w:val="008B5871"/>
    <w:rsid w:val="008C01CF"/>
    <w:rsid w:val="008C0E9E"/>
    <w:rsid w:val="008D0694"/>
    <w:rsid w:val="008F5BEC"/>
    <w:rsid w:val="009017B9"/>
    <w:rsid w:val="00903604"/>
    <w:rsid w:val="00914474"/>
    <w:rsid w:val="009214A0"/>
    <w:rsid w:val="00921932"/>
    <w:rsid w:val="00924E22"/>
    <w:rsid w:val="00931DE5"/>
    <w:rsid w:val="00944D59"/>
    <w:rsid w:val="0095525E"/>
    <w:rsid w:val="00965504"/>
    <w:rsid w:val="009677DD"/>
    <w:rsid w:val="00970379"/>
    <w:rsid w:val="00977B70"/>
    <w:rsid w:val="009801BA"/>
    <w:rsid w:val="00990864"/>
    <w:rsid w:val="009A77EC"/>
    <w:rsid w:val="009F3555"/>
    <w:rsid w:val="00A05C1D"/>
    <w:rsid w:val="00A111DA"/>
    <w:rsid w:val="00A22EF4"/>
    <w:rsid w:val="00A256F9"/>
    <w:rsid w:val="00A346F0"/>
    <w:rsid w:val="00A36904"/>
    <w:rsid w:val="00A4460B"/>
    <w:rsid w:val="00A473FA"/>
    <w:rsid w:val="00A532EE"/>
    <w:rsid w:val="00A651E0"/>
    <w:rsid w:val="00A6602E"/>
    <w:rsid w:val="00A674BB"/>
    <w:rsid w:val="00A67C16"/>
    <w:rsid w:val="00A72491"/>
    <w:rsid w:val="00A72A16"/>
    <w:rsid w:val="00A91CB3"/>
    <w:rsid w:val="00AA16F4"/>
    <w:rsid w:val="00AA403D"/>
    <w:rsid w:val="00AA62FE"/>
    <w:rsid w:val="00AB4D3B"/>
    <w:rsid w:val="00AB64E3"/>
    <w:rsid w:val="00AB650A"/>
    <w:rsid w:val="00AC3774"/>
    <w:rsid w:val="00AD784B"/>
    <w:rsid w:val="00AE7139"/>
    <w:rsid w:val="00AF35DE"/>
    <w:rsid w:val="00AF6824"/>
    <w:rsid w:val="00B007B8"/>
    <w:rsid w:val="00B00E72"/>
    <w:rsid w:val="00B0566F"/>
    <w:rsid w:val="00B11C8E"/>
    <w:rsid w:val="00B16C39"/>
    <w:rsid w:val="00B263C0"/>
    <w:rsid w:val="00B3212E"/>
    <w:rsid w:val="00B32FC7"/>
    <w:rsid w:val="00B35AA2"/>
    <w:rsid w:val="00B44389"/>
    <w:rsid w:val="00B47EA0"/>
    <w:rsid w:val="00B54B80"/>
    <w:rsid w:val="00B57DBD"/>
    <w:rsid w:val="00B70E33"/>
    <w:rsid w:val="00B729B9"/>
    <w:rsid w:val="00B74784"/>
    <w:rsid w:val="00B85F6B"/>
    <w:rsid w:val="00B93602"/>
    <w:rsid w:val="00BA5C88"/>
    <w:rsid w:val="00BB6D00"/>
    <w:rsid w:val="00BC2207"/>
    <w:rsid w:val="00BC6F34"/>
    <w:rsid w:val="00BC7452"/>
    <w:rsid w:val="00BD2863"/>
    <w:rsid w:val="00BD65E2"/>
    <w:rsid w:val="00BE0CD8"/>
    <w:rsid w:val="00BE3DBD"/>
    <w:rsid w:val="00BE56E8"/>
    <w:rsid w:val="00BE6D5F"/>
    <w:rsid w:val="00BF476B"/>
    <w:rsid w:val="00BF7560"/>
    <w:rsid w:val="00C12D3D"/>
    <w:rsid w:val="00C2594A"/>
    <w:rsid w:val="00C2623C"/>
    <w:rsid w:val="00C26313"/>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5676"/>
    <w:rsid w:val="00C87CC3"/>
    <w:rsid w:val="00C90D47"/>
    <w:rsid w:val="00C95686"/>
    <w:rsid w:val="00C95EC4"/>
    <w:rsid w:val="00CA1205"/>
    <w:rsid w:val="00CA337A"/>
    <w:rsid w:val="00CA48E7"/>
    <w:rsid w:val="00CA666C"/>
    <w:rsid w:val="00CA7AEF"/>
    <w:rsid w:val="00CB13D4"/>
    <w:rsid w:val="00CB3564"/>
    <w:rsid w:val="00CB3BE1"/>
    <w:rsid w:val="00CB4DCA"/>
    <w:rsid w:val="00CC4080"/>
    <w:rsid w:val="00CD787A"/>
    <w:rsid w:val="00CE00CF"/>
    <w:rsid w:val="00CE5EEE"/>
    <w:rsid w:val="00CF781D"/>
    <w:rsid w:val="00D04B3C"/>
    <w:rsid w:val="00D21895"/>
    <w:rsid w:val="00D2565A"/>
    <w:rsid w:val="00D32E5C"/>
    <w:rsid w:val="00D3660F"/>
    <w:rsid w:val="00D415A5"/>
    <w:rsid w:val="00D45AEE"/>
    <w:rsid w:val="00D479A6"/>
    <w:rsid w:val="00D5588B"/>
    <w:rsid w:val="00D60523"/>
    <w:rsid w:val="00D71719"/>
    <w:rsid w:val="00D754CB"/>
    <w:rsid w:val="00D817F7"/>
    <w:rsid w:val="00D86CD2"/>
    <w:rsid w:val="00DA1B06"/>
    <w:rsid w:val="00DA3954"/>
    <w:rsid w:val="00DB22F3"/>
    <w:rsid w:val="00DB6A92"/>
    <w:rsid w:val="00DC3353"/>
    <w:rsid w:val="00DC6795"/>
    <w:rsid w:val="00DD4AD8"/>
    <w:rsid w:val="00DD5408"/>
    <w:rsid w:val="00DD7B12"/>
    <w:rsid w:val="00DE2368"/>
    <w:rsid w:val="00DF46B0"/>
    <w:rsid w:val="00E2355B"/>
    <w:rsid w:val="00E238C2"/>
    <w:rsid w:val="00E26D9A"/>
    <w:rsid w:val="00E35EB0"/>
    <w:rsid w:val="00E3774F"/>
    <w:rsid w:val="00E500CF"/>
    <w:rsid w:val="00E534E2"/>
    <w:rsid w:val="00E701E5"/>
    <w:rsid w:val="00E71288"/>
    <w:rsid w:val="00E71A93"/>
    <w:rsid w:val="00E74D52"/>
    <w:rsid w:val="00E855AE"/>
    <w:rsid w:val="00E86B6C"/>
    <w:rsid w:val="00E90B24"/>
    <w:rsid w:val="00EA1B3D"/>
    <w:rsid w:val="00EA320B"/>
    <w:rsid w:val="00EA4206"/>
    <w:rsid w:val="00EA765D"/>
    <w:rsid w:val="00EB03A4"/>
    <w:rsid w:val="00EB20DA"/>
    <w:rsid w:val="00EB6A30"/>
    <w:rsid w:val="00EC662F"/>
    <w:rsid w:val="00ED3E4E"/>
    <w:rsid w:val="00EF279E"/>
    <w:rsid w:val="00EF2F58"/>
    <w:rsid w:val="00EF4E0F"/>
    <w:rsid w:val="00EF5055"/>
    <w:rsid w:val="00EF67B3"/>
    <w:rsid w:val="00EF6D03"/>
    <w:rsid w:val="00EF748F"/>
    <w:rsid w:val="00EF780B"/>
    <w:rsid w:val="00EF78B2"/>
    <w:rsid w:val="00F04C7B"/>
    <w:rsid w:val="00F0521B"/>
    <w:rsid w:val="00F16AC6"/>
    <w:rsid w:val="00F22D6B"/>
    <w:rsid w:val="00F300A7"/>
    <w:rsid w:val="00F3247D"/>
    <w:rsid w:val="00F337F6"/>
    <w:rsid w:val="00F43E37"/>
    <w:rsid w:val="00F45833"/>
    <w:rsid w:val="00F53FC5"/>
    <w:rsid w:val="00F64443"/>
    <w:rsid w:val="00F73FDF"/>
    <w:rsid w:val="00F76156"/>
    <w:rsid w:val="00F819D3"/>
    <w:rsid w:val="00F92697"/>
    <w:rsid w:val="00F9323F"/>
    <w:rsid w:val="00F9702A"/>
    <w:rsid w:val="00FA1238"/>
    <w:rsid w:val="00FA31B2"/>
    <w:rsid w:val="00FB1E51"/>
    <w:rsid w:val="00FB2E48"/>
    <w:rsid w:val="00FB3F38"/>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
    <w:link w:val="ListParagraph"/>
    <w:uiPriority w:val="34"/>
    <w:rsid w:val="006E14B5"/>
    <w:rPr>
      <w:rFonts w:ascii="Times New Roman" w:eastAsia="Times New Roman" w:hAnsi="Times New Roman" w:cs="Times New Roman"/>
      <w:sz w:val="24"/>
      <w:szCs w:val="20"/>
      <w:lang w:val="en-US"/>
    </w:rPr>
  </w:style>
  <w:style w:type="paragraph" w:styleId="Revision">
    <w:name w:val="Revision"/>
    <w:hidden/>
    <w:uiPriority w:val="99"/>
    <w:semiHidden/>
    <w:rsid w:val="008D0694"/>
    <w:pPr>
      <w:spacing w:after="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1538</Words>
  <Characters>8767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Matlou Maremane</cp:lastModifiedBy>
  <cp:revision>2</cp:revision>
  <cp:lastPrinted>2025-01-27T05:52:00Z</cp:lastPrinted>
  <dcterms:created xsi:type="dcterms:W3CDTF">2025-01-27T05:59:00Z</dcterms:created>
  <dcterms:modified xsi:type="dcterms:W3CDTF">2025-01-27T05:59:00Z</dcterms:modified>
</cp:coreProperties>
</file>