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778A29D8" w14:textId="77777777" w:rsidR="006A2D9A" w:rsidRDefault="00A26DCC" w:rsidP="00870839">
            <w:pPr>
              <w:spacing w:after="0" w:line="360" w:lineRule="auto"/>
              <w:rPr>
                <w:rFonts w:ascii="Arial" w:eastAsia="Times New Roman" w:hAnsi="Arial" w:cs="Arial"/>
                <w:smallCaps/>
                <w:lang w:val="en-GB"/>
              </w:rPr>
            </w:pPr>
            <w:r>
              <w:rPr>
                <w:rFonts w:ascii="Arial" w:eastAsia="Times New Roman" w:hAnsi="Arial" w:cs="Arial"/>
                <w:smallCaps/>
                <w:lang w:val="en-GB"/>
              </w:rPr>
              <w:t>Mr Pieter le Roux</w:t>
            </w:r>
          </w:p>
          <w:p w14:paraId="0D5E3BC3" w14:textId="09FC90A9" w:rsidR="00A26DCC" w:rsidRPr="00870839" w:rsidRDefault="00A26DCC" w:rsidP="00870839">
            <w:pPr>
              <w:spacing w:after="0" w:line="360" w:lineRule="auto"/>
              <w:rPr>
                <w:rFonts w:ascii="Arial" w:eastAsia="Times New Roman" w:hAnsi="Arial" w:cs="Arial"/>
                <w:smallCaps/>
                <w:lang w:val="en-GB"/>
              </w:rPr>
            </w:pPr>
            <w:r>
              <w:rPr>
                <w:rFonts w:ascii="Arial" w:eastAsia="Times New Roman" w:hAnsi="Arial" w:cs="Arial"/>
                <w:smallCaps/>
                <w:lang w:val="en-GB"/>
              </w:rPr>
              <w:t>Snr Manager – Nuclear Commercial</w:t>
            </w: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5C6352EE" w14:textId="77777777" w:rsidR="00187609" w:rsidRDefault="00187609" w:rsidP="00F83571">
      <w:pPr>
        <w:spacing w:after="0" w:line="480" w:lineRule="auto"/>
        <w:jc w:val="both"/>
        <w:rPr>
          <w:rFonts w:ascii="Arial" w:eastAsia="Times New Roman" w:hAnsi="Arial" w:cs="Arial"/>
        </w:rPr>
      </w:pPr>
    </w:p>
    <w:p w14:paraId="3B5FAB70" w14:textId="77777777" w:rsidR="00187609" w:rsidRDefault="00187609" w:rsidP="00F83571">
      <w:pPr>
        <w:spacing w:after="0" w:line="480" w:lineRule="auto"/>
        <w:jc w:val="both"/>
        <w:rPr>
          <w:rFonts w:ascii="Arial" w:eastAsia="Times New Roman" w:hAnsi="Arial" w:cs="Arial"/>
        </w:rPr>
      </w:pPr>
    </w:p>
    <w:p w14:paraId="2E55F4D7" w14:textId="77777777" w:rsidR="00187609" w:rsidRDefault="00187609"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B8B28" w14:textId="77777777" w:rsidR="00DC46FC" w:rsidRDefault="00DC46FC" w:rsidP="00201A98">
      <w:pPr>
        <w:spacing w:after="0" w:line="240" w:lineRule="auto"/>
      </w:pPr>
      <w:r>
        <w:separator/>
      </w:r>
    </w:p>
  </w:endnote>
  <w:endnote w:type="continuationSeparator" w:id="0">
    <w:p w14:paraId="4144AF81" w14:textId="77777777" w:rsidR="00DC46FC" w:rsidRDefault="00DC46F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4AF8F" w14:textId="77777777" w:rsidR="00DC46FC" w:rsidRDefault="00DC46FC" w:rsidP="00201A98">
      <w:pPr>
        <w:spacing w:after="0" w:line="240" w:lineRule="auto"/>
      </w:pPr>
      <w:r>
        <w:separator/>
      </w:r>
    </w:p>
  </w:footnote>
  <w:footnote w:type="continuationSeparator" w:id="0">
    <w:p w14:paraId="29FFAA9C" w14:textId="77777777" w:rsidR="00DC46FC" w:rsidRDefault="00DC46F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75"/>
      <w:gridCol w:w="3306"/>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187609"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680060" r:id="rId2"/>
            </w:object>
          </w:r>
        </w:p>
      </w:tc>
      <w:tc>
        <w:tcPr>
          <w:tcW w:w="3681" w:type="dxa"/>
          <w:gridSpan w:val="2"/>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gridSpan w:val="2"/>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gridSpan w:val="2"/>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gridSpan w:val="2"/>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406606">
      <w:trPr>
        <w:cantSplit/>
        <w:trHeight w:hRule="exact" w:val="514"/>
        <w:jc w:val="center"/>
      </w:trPr>
      <w:tc>
        <w:tcPr>
          <w:tcW w:w="2785"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7983" w:type="dxa"/>
          <w:gridSpan w:val="5"/>
          <w:shd w:val="clear" w:color="auto" w:fill="auto"/>
          <w:vAlign w:val="center"/>
        </w:tcPr>
        <w:p w14:paraId="55E9681E" w14:textId="77777777" w:rsidR="00406606" w:rsidRPr="00406606" w:rsidRDefault="00406606" w:rsidP="00406606">
          <w:pPr>
            <w:rPr>
              <w:rFonts w:ascii="Arial" w:hAnsi="Arial" w:cs="Arial"/>
              <w:b/>
              <w:sz w:val="18"/>
              <w:szCs w:val="16"/>
              <w:lang w:val="en-US"/>
            </w:rPr>
          </w:pPr>
          <w:r w:rsidRPr="00406606">
            <w:rPr>
              <w:rFonts w:ascii="Arial" w:hAnsi="Arial" w:cs="Arial"/>
              <w:b/>
              <w:sz w:val="18"/>
              <w:szCs w:val="16"/>
              <w:lang w:val="en-US"/>
            </w:rPr>
            <w:t>THE PROVISION OF PROJECT CONTROLS SERVICES IN ORDER TO PROVIDE SUPPORT ON VARIOUS PROJETCS AT KOEBERG NUCLEAR POWER STATION (KNPS)</w:t>
          </w:r>
        </w:p>
        <w:p w14:paraId="0F6713E2" w14:textId="33D03762" w:rsidR="00870839" w:rsidRPr="00406606" w:rsidRDefault="00870839" w:rsidP="00406606">
          <w:pPr>
            <w:spacing w:after="0"/>
            <w:rPr>
              <w:rFonts w:ascii="Arial" w:hAnsi="Arial"/>
              <w:sz w:val="18"/>
              <w:szCs w:val="16"/>
              <w:lang w:val="en-US"/>
            </w:rPr>
          </w:pP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87609"/>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06606"/>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887C61"/>
    <w:rsid w:val="0093552D"/>
    <w:rsid w:val="00947FF5"/>
    <w:rsid w:val="0099382B"/>
    <w:rsid w:val="009A12FD"/>
    <w:rsid w:val="009E4402"/>
    <w:rsid w:val="00A22EF4"/>
    <w:rsid w:val="00A26DCC"/>
    <w:rsid w:val="00A550AD"/>
    <w:rsid w:val="00A67C16"/>
    <w:rsid w:val="00A72491"/>
    <w:rsid w:val="00A76642"/>
    <w:rsid w:val="00A92D53"/>
    <w:rsid w:val="00A96075"/>
    <w:rsid w:val="00AA3261"/>
    <w:rsid w:val="00B71023"/>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2838</Words>
  <Characters>15016</Characters>
  <Application>Microsoft Office Word</Application>
  <DocSecurity>0</DocSecurity>
  <Lines>790</Lines>
  <Paragraphs>637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Sheilah Brown</cp:lastModifiedBy>
  <cp:revision>5</cp:revision>
  <dcterms:created xsi:type="dcterms:W3CDTF">2025-06-17T13:11:00Z</dcterms:created>
  <dcterms:modified xsi:type="dcterms:W3CDTF">2025-06-17T13:13:00Z</dcterms:modified>
</cp:coreProperties>
</file>