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839" w:rsidRPr="00870839" w:rsidRDefault="00870839" w:rsidP="00870839">
      <w:pPr>
        <w:spacing w:after="0" w:line="360" w:lineRule="auto"/>
        <w:rPr>
          <w:rFonts w:ascii="Arial" w:eastAsia="Times New Roman" w:hAnsi="Arial" w:cs="Arial"/>
          <w:b/>
          <w:lang w:val="en-GB"/>
        </w:rPr>
      </w:pPr>
      <w:bookmarkStart w:id="0" w:name="_GoBack"/>
      <w:bookmarkEnd w:id="0"/>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870839" w:rsidRDefault="00870839" w:rsidP="00870839">
      <w:pPr>
        <w:spacing w:after="0" w:line="360" w:lineRule="auto"/>
        <w:jc w:val="both"/>
        <w:rPr>
          <w:rFonts w:ascii="Arial" w:eastAsia="Times New Roman" w:hAnsi="Arial" w:cs="Arial"/>
          <w:lang w:val="en-GB"/>
        </w:rPr>
      </w:pP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(“domicilium”)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eskom holdingsSOC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megawatt park, maxwell drive, sunninghill</w:t>
            </w:r>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p o box 1091 johannesburg 2000 sa</w:t>
            </w:r>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A Party may change its domicilium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870839" w:rsidRDefault="00E775B4" w:rsidP="00870839">
      <w:pPr>
        <w:spacing w:after="24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870839" w:rsidRPr="00870839" w:rsidRDefault="00870839"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7B3" w:rsidRDefault="00CF27B3" w:rsidP="00201A98">
      <w:pPr>
        <w:spacing w:after="0" w:line="240" w:lineRule="auto"/>
      </w:pPr>
      <w:r>
        <w:separator/>
      </w:r>
    </w:p>
  </w:endnote>
  <w:endnote w:type="continuationSeparator" w:id="0">
    <w:p w:rsidR="00CF27B3" w:rsidRDefault="00CF27B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1DF0A29" wp14:editId="6495808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F27B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F27B3">
            <w:rPr>
              <w:rFonts w:ascii="Arial" w:hAnsi="Arial" w:cs="Arial"/>
              <w:noProof/>
              <w:sz w:val="18"/>
              <w:szCs w:val="18"/>
            </w:rPr>
            <w:t>1</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7B3" w:rsidRDefault="00CF27B3" w:rsidP="00201A98">
      <w:pPr>
        <w:spacing w:after="0" w:line="240" w:lineRule="auto"/>
      </w:pPr>
      <w:r>
        <w:separator/>
      </w:r>
    </w:p>
  </w:footnote>
  <w:footnote w:type="continuationSeparator" w:id="0">
    <w:p w:rsidR="00CF27B3" w:rsidRDefault="00CF27B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rsidTr="00870839">
      <w:trPr>
        <w:cantSplit/>
        <w:trHeight w:val="263"/>
        <w:jc w:val="center"/>
      </w:trPr>
      <w:tc>
        <w:tcPr>
          <w:tcW w:w="2410" w:type="dxa"/>
          <w:vMerge w:val="restart"/>
          <w:vAlign w:val="bottom"/>
        </w:tcPr>
        <w:p w:rsidR="00870839" w:rsidRPr="003914DE" w:rsidRDefault="00CF27B3"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7796671" r:id="rId2"/>
            </w:object>
          </w:r>
        </w:p>
      </w:tc>
      <w:tc>
        <w:tcPr>
          <w:tcW w:w="3544" w:type="dxa"/>
          <w:vMerge w:val="restart"/>
          <w:vAlign w:val="center"/>
        </w:tcPr>
        <w:p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70839" w:rsidRPr="00870839" w:rsidRDefault="000B656D" w:rsidP="003113D9">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870839" w:rsidRPr="00870839" w:rsidRDefault="000B656D" w:rsidP="003113D9">
          <w:pPr>
            <w:spacing w:after="0"/>
            <w:rPr>
              <w:rFonts w:ascii="Arial" w:hAnsi="Arial"/>
              <w:sz w:val="20"/>
              <w:lang w:val="en-GB"/>
            </w:rPr>
          </w:pPr>
          <w:r>
            <w:rPr>
              <w:rFonts w:ascii="Arial" w:hAnsi="Arial"/>
              <w:sz w:val="20"/>
              <w:lang w:val="en-GB"/>
            </w:rPr>
            <w:t>4</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70839" w:rsidRPr="00870839" w:rsidRDefault="000B656D" w:rsidP="00EA1B3D">
          <w:pPr>
            <w:spacing w:after="0"/>
            <w:rPr>
              <w:rFonts w:ascii="Arial" w:hAnsi="Arial"/>
              <w:sz w:val="20"/>
              <w:lang w:val="en-GB"/>
            </w:rPr>
          </w:pPr>
          <w:r w:rsidRPr="000B656D">
            <w:rPr>
              <w:rFonts w:ascii="Arial" w:hAnsi="Arial"/>
              <w:sz w:val="20"/>
              <w:lang w:val="en-GB"/>
            </w:rPr>
            <w:t>N/A</w:t>
          </w:r>
        </w:p>
      </w:tc>
      <w:tc>
        <w:tcPr>
          <w:tcW w:w="567" w:type="dxa"/>
          <w:shd w:val="clear" w:color="auto" w:fill="auto"/>
          <w:vAlign w:val="center"/>
        </w:tcPr>
        <w:p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870839" w:rsidRPr="00870839" w:rsidRDefault="000B656D" w:rsidP="0088295E">
          <w:pPr>
            <w:spacing w:after="0"/>
            <w:rPr>
              <w:rFonts w:ascii="Arial" w:hAnsi="Arial"/>
              <w:sz w:val="20"/>
              <w:lang w:val="en-GB"/>
            </w:rPr>
          </w:pPr>
          <w:r>
            <w:rPr>
              <w:rFonts w:ascii="Arial" w:hAnsi="Arial"/>
              <w:sz w:val="20"/>
              <w:lang w:val="en-GB"/>
            </w:rPr>
            <w:t>N/A</w:t>
          </w:r>
        </w:p>
      </w:tc>
    </w:tr>
    <w:tr w:rsidR="00870839" w:rsidRPr="00116E60" w:rsidTr="00870839">
      <w:trPr>
        <w:cantSplit/>
        <w:trHeigh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870839">
      <w:trPr>
        <w:cantSplit/>
        <w:trHeight w:hRule="exact" w:val="261"/>
        <w:jc w:val="center"/>
      </w:trPr>
      <w:tc>
        <w:tcPr>
          <w:tcW w:w="2410" w:type="dxa"/>
          <w:vMerge/>
          <w:vAlign w:val="bottom"/>
        </w:tcPr>
        <w:p w:rsidR="00870839" w:rsidRPr="003914DE" w:rsidRDefault="00870839" w:rsidP="00EA1B3D">
          <w:pPr>
            <w:spacing w:before="840"/>
            <w:rPr>
              <w:rFonts w:ascii="Arial" w:hAnsi="Arial"/>
              <w:b/>
              <w:lang w:val="en-GB"/>
            </w:rPr>
          </w:pPr>
        </w:p>
      </w:tc>
      <w:tc>
        <w:tcPr>
          <w:tcW w:w="3544"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870839" w:rsidRPr="00870839" w:rsidRDefault="000F790D" w:rsidP="000F790D">
          <w:pPr>
            <w:spacing w:after="0"/>
            <w:rPr>
              <w:rFonts w:ascii="Arial" w:hAnsi="Arial"/>
              <w:sz w:val="20"/>
              <w:lang w:val="en-GB"/>
            </w:rPr>
          </w:pPr>
          <w:r>
            <w:rPr>
              <w:rFonts w:ascii="Arial" w:hAnsi="Arial"/>
              <w:sz w:val="20"/>
              <w:lang w:val="en-GB"/>
            </w:rPr>
            <w:t>Febr</w:t>
          </w:r>
          <w:r w:rsidR="00870839" w:rsidRPr="00870839">
            <w:rPr>
              <w:rFonts w:ascii="Arial" w:hAnsi="Arial"/>
              <w:sz w:val="20"/>
              <w:lang w:val="en-GB"/>
            </w:rPr>
            <w:t>uary 202</w:t>
          </w:r>
          <w:r>
            <w:rPr>
              <w:rFonts w:ascii="Arial" w:hAnsi="Arial"/>
              <w:sz w:val="20"/>
              <w:lang w:val="en-GB"/>
            </w:rPr>
            <w:t>3</w:t>
          </w:r>
        </w:p>
      </w:tc>
    </w:tr>
    <w:tr w:rsidR="00870839" w:rsidRPr="00DB041F" w:rsidTr="00A86B70">
      <w:trPr>
        <w:cantSplit/>
        <w:trHeight w:hRule="exact" w:val="953"/>
        <w:jc w:val="center"/>
      </w:trPr>
      <w:tc>
        <w:tcPr>
          <w:tcW w:w="5954" w:type="dxa"/>
          <w:gridSpan w:val="2"/>
          <w:vAlign w:val="bottom"/>
        </w:tcPr>
        <w:p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rsidR="00870839" w:rsidRPr="001D7AAF" w:rsidRDefault="001D7AAF" w:rsidP="00A86B70">
          <w:pPr>
            <w:spacing w:after="0"/>
            <w:rPr>
              <w:rFonts w:ascii="Arial" w:hAnsi="Arial"/>
              <w:sz w:val="18"/>
              <w:szCs w:val="18"/>
              <w:lang w:val="en-GB"/>
            </w:rPr>
          </w:pPr>
          <w:r w:rsidRPr="001D7AAF">
            <w:rPr>
              <w:rFonts w:ascii="Arial" w:hAnsi="Arial" w:cs="Arial"/>
              <w:sz w:val="18"/>
              <w:szCs w:val="18"/>
            </w:rPr>
            <w:t>THE MAINTENANCE OF INDOOR PLANTS FOR DISTRIBUTION PROPERTY MANAGEMENT DEPARTMENT IN THE CAPE COASTAL CLUSTER</w:t>
          </w:r>
        </w:p>
      </w:tc>
    </w:tr>
  </w:tbl>
  <w:p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82CC4"/>
    <w:rsid w:val="000A01FA"/>
    <w:rsid w:val="000B165C"/>
    <w:rsid w:val="000B656D"/>
    <w:rsid w:val="000F790D"/>
    <w:rsid w:val="001477A3"/>
    <w:rsid w:val="00155248"/>
    <w:rsid w:val="001D042C"/>
    <w:rsid w:val="001D7AAF"/>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5F292A"/>
    <w:rsid w:val="00627923"/>
    <w:rsid w:val="00657B8A"/>
    <w:rsid w:val="00732A3F"/>
    <w:rsid w:val="007A6F13"/>
    <w:rsid w:val="00870839"/>
    <w:rsid w:val="0088295E"/>
    <w:rsid w:val="00A22EF4"/>
    <w:rsid w:val="00A67C16"/>
    <w:rsid w:val="00A72491"/>
    <w:rsid w:val="00A86B70"/>
    <w:rsid w:val="00B71023"/>
    <w:rsid w:val="00BA5C88"/>
    <w:rsid w:val="00BE6D5F"/>
    <w:rsid w:val="00C24C2C"/>
    <w:rsid w:val="00C40E58"/>
    <w:rsid w:val="00C72E5D"/>
    <w:rsid w:val="00C8088F"/>
    <w:rsid w:val="00CA666C"/>
    <w:rsid w:val="00CF27B3"/>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A90423E9-3A0E-45EA-829D-9FA74421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Shireen Parring</cp:lastModifiedBy>
  <cp:revision>3</cp:revision>
  <dcterms:created xsi:type="dcterms:W3CDTF">2020-07-14T12:29:00Z</dcterms:created>
  <dcterms:modified xsi:type="dcterms:W3CDTF">2021-07-14T17:37:00Z</dcterms:modified>
</cp:coreProperties>
</file>